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BBBCA" w14:textId="77777777" w:rsidR="000C2A48" w:rsidRDefault="000C2A48" w:rsidP="003C554E">
      <w:pPr>
        <w:pStyle w:val="NormalIndented"/>
      </w:pPr>
    </w:p>
    <w:p w14:paraId="5394365F" w14:textId="0D84517A" w:rsidR="006C4DD1" w:rsidRDefault="008F1D30" w:rsidP="00581851">
      <w:pPr>
        <w:pStyle w:val="Title"/>
      </w:pPr>
      <w:r w:rsidRPr="00892B4A">
        <w:rPr>
          <w:color w:val="auto"/>
        </w:rPr>
        <w:t>An Introduction to Australian Government Procurement for Suppliers</w:t>
      </w:r>
    </w:p>
    <w:p w14:paraId="77F6B9E5" w14:textId="77777777" w:rsidR="005D3E0C" w:rsidRDefault="005D3E0C" w:rsidP="006C4DD1">
      <w:pPr>
        <w:sectPr w:rsidR="005D3E0C" w:rsidSect="004D5130">
          <w:footerReference w:type="default" r:id="rId8"/>
          <w:type w:val="continuous"/>
          <w:pgSz w:w="11906" w:h="16838" w:code="9"/>
          <w:pgMar w:top="2268" w:right="1418" w:bottom="1418" w:left="1418" w:header="567" w:footer="624" w:gutter="0"/>
          <w:cols w:space="708"/>
          <w:docGrid w:linePitch="360"/>
        </w:sectPr>
      </w:pPr>
    </w:p>
    <w:p w14:paraId="4F467FCD" w14:textId="09D036B7" w:rsidR="0020122A" w:rsidRPr="00A8075D" w:rsidRDefault="0020122A" w:rsidP="00E3484D">
      <w:pPr>
        <w:pStyle w:val="Heading1"/>
      </w:pPr>
      <w:bookmarkStart w:id="0" w:name="_Toc155860411"/>
      <w:r w:rsidRPr="00A8075D">
        <w:lastRenderedPageBreak/>
        <w:t>Contents</w:t>
      </w:r>
      <w:bookmarkEnd w:id="0"/>
    </w:p>
    <w:p w14:paraId="346185E6" w14:textId="00B9539D" w:rsidR="00014465" w:rsidRDefault="0082589D">
      <w:pPr>
        <w:pStyle w:val="TOC1"/>
        <w:rPr>
          <w:rFonts w:eastAsiaTheme="minorEastAsia"/>
          <w:b w:val="0"/>
          <w:noProof/>
          <w:kern w:val="2"/>
          <w:sz w:val="22"/>
          <w:lang w:eastAsia="en-AU"/>
          <w14:ligatures w14:val="standardContextual"/>
        </w:rPr>
      </w:pPr>
      <w:r>
        <w:fldChar w:fldCharType="begin"/>
      </w:r>
      <w:r>
        <w:instrText xml:space="preserve"> TOC \o "2-2" \h \z \t "Heading 1,1,Heading 1 Numbered,1" </w:instrText>
      </w:r>
      <w:r>
        <w:fldChar w:fldCharType="separate"/>
      </w:r>
      <w:hyperlink w:anchor="_Toc155860412" w:history="1">
        <w:r w:rsidR="00014465" w:rsidRPr="00CE2928">
          <w:rPr>
            <w:rStyle w:val="Hyperlink"/>
            <w:noProof/>
          </w:rPr>
          <w:t>Purpose</w:t>
        </w:r>
        <w:r w:rsidR="00014465">
          <w:rPr>
            <w:noProof/>
            <w:webHidden/>
          </w:rPr>
          <w:tab/>
        </w:r>
        <w:r w:rsidR="00014465">
          <w:rPr>
            <w:noProof/>
            <w:webHidden/>
          </w:rPr>
          <w:fldChar w:fldCharType="begin"/>
        </w:r>
        <w:r w:rsidR="00014465">
          <w:rPr>
            <w:noProof/>
            <w:webHidden/>
          </w:rPr>
          <w:instrText xml:space="preserve"> PAGEREF _Toc155860412 \h </w:instrText>
        </w:r>
        <w:r w:rsidR="00014465">
          <w:rPr>
            <w:noProof/>
            <w:webHidden/>
          </w:rPr>
        </w:r>
        <w:r w:rsidR="00014465">
          <w:rPr>
            <w:noProof/>
            <w:webHidden/>
          </w:rPr>
          <w:fldChar w:fldCharType="separate"/>
        </w:r>
        <w:r w:rsidR="00581851">
          <w:rPr>
            <w:noProof/>
            <w:webHidden/>
          </w:rPr>
          <w:t>4</w:t>
        </w:r>
        <w:r w:rsidR="00014465">
          <w:rPr>
            <w:noProof/>
            <w:webHidden/>
          </w:rPr>
          <w:fldChar w:fldCharType="end"/>
        </w:r>
      </w:hyperlink>
    </w:p>
    <w:p w14:paraId="1C5AAA6A" w14:textId="2B0C124B" w:rsidR="00014465" w:rsidRDefault="00000000">
      <w:pPr>
        <w:pStyle w:val="TOC1"/>
        <w:rPr>
          <w:rFonts w:eastAsiaTheme="minorEastAsia"/>
          <w:b w:val="0"/>
          <w:noProof/>
          <w:kern w:val="2"/>
          <w:sz w:val="22"/>
          <w:lang w:eastAsia="en-AU"/>
          <w14:ligatures w14:val="standardContextual"/>
        </w:rPr>
      </w:pPr>
      <w:hyperlink w:anchor="_Toc155860413" w:history="1">
        <w:r w:rsidR="00014465" w:rsidRPr="00CE2928">
          <w:rPr>
            <w:rStyle w:val="Hyperlink"/>
            <w:noProof/>
          </w:rPr>
          <w:t>Why sell to the Australian Government?</w:t>
        </w:r>
        <w:r w:rsidR="00014465">
          <w:rPr>
            <w:noProof/>
            <w:webHidden/>
          </w:rPr>
          <w:tab/>
        </w:r>
        <w:r w:rsidR="00014465">
          <w:rPr>
            <w:noProof/>
            <w:webHidden/>
          </w:rPr>
          <w:fldChar w:fldCharType="begin"/>
        </w:r>
        <w:r w:rsidR="00014465">
          <w:rPr>
            <w:noProof/>
            <w:webHidden/>
          </w:rPr>
          <w:instrText xml:space="preserve"> PAGEREF _Toc155860413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5D486086" w14:textId="2524D289" w:rsidR="00014465" w:rsidRDefault="00000000">
      <w:pPr>
        <w:pStyle w:val="TOC2"/>
        <w:rPr>
          <w:rFonts w:eastAsiaTheme="minorEastAsia"/>
          <w:noProof/>
          <w:kern w:val="2"/>
          <w:lang w:eastAsia="en-AU"/>
          <w14:ligatures w14:val="standardContextual"/>
        </w:rPr>
      </w:pPr>
      <w:hyperlink w:anchor="_Toc155860414" w:history="1">
        <w:r w:rsidR="00014465" w:rsidRPr="00CE2928">
          <w:rPr>
            <w:rStyle w:val="Hyperlink"/>
            <w:noProof/>
          </w:rPr>
          <w:t>Timely payment</w:t>
        </w:r>
        <w:r w:rsidR="00014465">
          <w:rPr>
            <w:noProof/>
            <w:webHidden/>
          </w:rPr>
          <w:tab/>
        </w:r>
        <w:r w:rsidR="00014465">
          <w:rPr>
            <w:noProof/>
            <w:webHidden/>
          </w:rPr>
          <w:fldChar w:fldCharType="begin"/>
        </w:r>
        <w:r w:rsidR="00014465">
          <w:rPr>
            <w:noProof/>
            <w:webHidden/>
          </w:rPr>
          <w:instrText xml:space="preserve"> PAGEREF _Toc155860414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3CABE17A" w14:textId="6E22396F" w:rsidR="00014465" w:rsidRDefault="00000000">
      <w:pPr>
        <w:pStyle w:val="TOC2"/>
        <w:rPr>
          <w:rFonts w:eastAsiaTheme="minorEastAsia"/>
          <w:noProof/>
          <w:kern w:val="2"/>
          <w:lang w:eastAsia="en-AU"/>
          <w14:ligatures w14:val="standardContextual"/>
        </w:rPr>
      </w:pPr>
      <w:hyperlink w:anchor="_Toc155860415" w:history="1">
        <w:r w:rsidR="00014465" w:rsidRPr="00CE2928">
          <w:rPr>
            <w:rStyle w:val="Hyperlink"/>
            <w:noProof/>
          </w:rPr>
          <w:t>Sourcing commitments</w:t>
        </w:r>
        <w:r w:rsidR="00014465">
          <w:rPr>
            <w:noProof/>
            <w:webHidden/>
          </w:rPr>
          <w:tab/>
        </w:r>
        <w:r w:rsidR="00014465">
          <w:rPr>
            <w:noProof/>
            <w:webHidden/>
          </w:rPr>
          <w:fldChar w:fldCharType="begin"/>
        </w:r>
        <w:r w:rsidR="00014465">
          <w:rPr>
            <w:noProof/>
            <w:webHidden/>
          </w:rPr>
          <w:instrText xml:space="preserve"> PAGEREF _Toc155860415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28F5D545" w14:textId="1ACE56DE" w:rsidR="00014465" w:rsidRDefault="00000000">
      <w:pPr>
        <w:pStyle w:val="TOC2"/>
        <w:rPr>
          <w:rFonts w:eastAsiaTheme="minorEastAsia"/>
          <w:noProof/>
          <w:kern w:val="2"/>
          <w:lang w:eastAsia="en-AU"/>
          <w14:ligatures w14:val="standardContextual"/>
        </w:rPr>
      </w:pPr>
      <w:hyperlink w:anchor="_Toc155860416" w:history="1">
        <w:r w:rsidR="00014465" w:rsidRPr="00CE2928">
          <w:rPr>
            <w:rStyle w:val="Hyperlink"/>
            <w:noProof/>
          </w:rPr>
          <w:t>Provisions to directly source from SMEs, Indigenous businesses, and supported employment providers</w:t>
        </w:r>
        <w:r w:rsidR="00014465">
          <w:rPr>
            <w:noProof/>
            <w:webHidden/>
          </w:rPr>
          <w:tab/>
        </w:r>
        <w:r w:rsidR="00014465">
          <w:rPr>
            <w:noProof/>
            <w:webHidden/>
          </w:rPr>
          <w:fldChar w:fldCharType="begin"/>
        </w:r>
        <w:r w:rsidR="00014465">
          <w:rPr>
            <w:noProof/>
            <w:webHidden/>
          </w:rPr>
          <w:instrText xml:space="preserve"> PAGEREF _Toc155860416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7A038AA2" w14:textId="5AA3C952" w:rsidR="00014465" w:rsidRDefault="00000000">
      <w:pPr>
        <w:pStyle w:val="TOC1"/>
        <w:rPr>
          <w:rFonts w:eastAsiaTheme="minorEastAsia"/>
          <w:b w:val="0"/>
          <w:noProof/>
          <w:kern w:val="2"/>
          <w:sz w:val="22"/>
          <w:lang w:eastAsia="en-AU"/>
          <w14:ligatures w14:val="standardContextual"/>
        </w:rPr>
      </w:pPr>
      <w:hyperlink w:anchor="_Toc155860417" w:history="1">
        <w:r w:rsidR="00014465" w:rsidRPr="00CE2928">
          <w:rPr>
            <w:rStyle w:val="Hyperlink"/>
            <w:noProof/>
          </w:rPr>
          <w:t>What does the Australian Government buy?</w:t>
        </w:r>
        <w:r w:rsidR="00014465">
          <w:rPr>
            <w:noProof/>
            <w:webHidden/>
          </w:rPr>
          <w:tab/>
        </w:r>
        <w:r w:rsidR="00014465">
          <w:rPr>
            <w:noProof/>
            <w:webHidden/>
          </w:rPr>
          <w:fldChar w:fldCharType="begin"/>
        </w:r>
        <w:r w:rsidR="00014465">
          <w:rPr>
            <w:noProof/>
            <w:webHidden/>
          </w:rPr>
          <w:instrText xml:space="preserve"> PAGEREF _Toc155860417 \h </w:instrText>
        </w:r>
        <w:r w:rsidR="00014465">
          <w:rPr>
            <w:noProof/>
            <w:webHidden/>
          </w:rPr>
        </w:r>
        <w:r w:rsidR="00014465">
          <w:rPr>
            <w:noProof/>
            <w:webHidden/>
          </w:rPr>
          <w:fldChar w:fldCharType="separate"/>
        </w:r>
        <w:r w:rsidR="00581851">
          <w:rPr>
            <w:noProof/>
            <w:webHidden/>
          </w:rPr>
          <w:t>6</w:t>
        </w:r>
        <w:r w:rsidR="00014465">
          <w:rPr>
            <w:noProof/>
            <w:webHidden/>
          </w:rPr>
          <w:fldChar w:fldCharType="end"/>
        </w:r>
      </w:hyperlink>
    </w:p>
    <w:p w14:paraId="74EA6F7F" w14:textId="3BCCB648" w:rsidR="00014465" w:rsidRDefault="00000000">
      <w:pPr>
        <w:pStyle w:val="TOC1"/>
        <w:rPr>
          <w:rFonts w:eastAsiaTheme="minorEastAsia"/>
          <w:b w:val="0"/>
          <w:noProof/>
          <w:kern w:val="2"/>
          <w:sz w:val="22"/>
          <w:lang w:eastAsia="en-AU"/>
          <w14:ligatures w14:val="standardContextual"/>
        </w:rPr>
      </w:pPr>
      <w:hyperlink w:anchor="_Toc155860418" w:history="1">
        <w:r w:rsidR="00014465" w:rsidRPr="00CE2928">
          <w:rPr>
            <w:rStyle w:val="Hyperlink"/>
            <w:noProof/>
          </w:rPr>
          <w:t>How does the Australian Government buy?</w:t>
        </w:r>
        <w:r w:rsidR="00014465">
          <w:rPr>
            <w:noProof/>
            <w:webHidden/>
          </w:rPr>
          <w:tab/>
        </w:r>
        <w:r w:rsidR="00014465">
          <w:rPr>
            <w:noProof/>
            <w:webHidden/>
          </w:rPr>
          <w:fldChar w:fldCharType="begin"/>
        </w:r>
        <w:r w:rsidR="00014465">
          <w:rPr>
            <w:noProof/>
            <w:webHidden/>
          </w:rPr>
          <w:instrText xml:space="preserve"> PAGEREF _Toc155860418 \h </w:instrText>
        </w:r>
        <w:r w:rsidR="00014465">
          <w:rPr>
            <w:noProof/>
            <w:webHidden/>
          </w:rPr>
        </w:r>
        <w:r w:rsidR="00014465">
          <w:rPr>
            <w:noProof/>
            <w:webHidden/>
          </w:rPr>
          <w:fldChar w:fldCharType="separate"/>
        </w:r>
        <w:r w:rsidR="00581851">
          <w:rPr>
            <w:noProof/>
            <w:webHidden/>
          </w:rPr>
          <w:t>7</w:t>
        </w:r>
        <w:r w:rsidR="00014465">
          <w:rPr>
            <w:noProof/>
            <w:webHidden/>
          </w:rPr>
          <w:fldChar w:fldCharType="end"/>
        </w:r>
      </w:hyperlink>
    </w:p>
    <w:p w14:paraId="60C444B6" w14:textId="53BB34D4" w:rsidR="00014465" w:rsidRDefault="00000000">
      <w:pPr>
        <w:pStyle w:val="TOC2"/>
        <w:rPr>
          <w:rFonts w:eastAsiaTheme="minorEastAsia"/>
          <w:noProof/>
          <w:kern w:val="2"/>
          <w:lang w:eastAsia="en-AU"/>
          <w14:ligatures w14:val="standardContextual"/>
        </w:rPr>
      </w:pPr>
      <w:hyperlink w:anchor="_Toc155860419" w:history="1">
        <w:r w:rsidR="00014465" w:rsidRPr="00CE2928">
          <w:rPr>
            <w:rStyle w:val="Hyperlink"/>
            <w:noProof/>
          </w:rPr>
          <w:t>Commonwealth Procurement Rules</w:t>
        </w:r>
        <w:r w:rsidR="00014465">
          <w:rPr>
            <w:noProof/>
            <w:webHidden/>
          </w:rPr>
          <w:tab/>
        </w:r>
        <w:r w:rsidR="00014465">
          <w:rPr>
            <w:noProof/>
            <w:webHidden/>
          </w:rPr>
          <w:fldChar w:fldCharType="begin"/>
        </w:r>
        <w:r w:rsidR="00014465">
          <w:rPr>
            <w:noProof/>
            <w:webHidden/>
          </w:rPr>
          <w:instrText xml:space="preserve"> PAGEREF _Toc155860419 \h </w:instrText>
        </w:r>
        <w:r w:rsidR="00014465">
          <w:rPr>
            <w:noProof/>
            <w:webHidden/>
          </w:rPr>
        </w:r>
        <w:r w:rsidR="00014465">
          <w:rPr>
            <w:noProof/>
            <w:webHidden/>
          </w:rPr>
          <w:fldChar w:fldCharType="separate"/>
        </w:r>
        <w:r w:rsidR="00581851">
          <w:rPr>
            <w:noProof/>
            <w:webHidden/>
          </w:rPr>
          <w:t>7</w:t>
        </w:r>
        <w:r w:rsidR="00014465">
          <w:rPr>
            <w:noProof/>
            <w:webHidden/>
          </w:rPr>
          <w:fldChar w:fldCharType="end"/>
        </w:r>
      </w:hyperlink>
    </w:p>
    <w:p w14:paraId="648CD168" w14:textId="5884A53F" w:rsidR="00014465" w:rsidRDefault="00000000">
      <w:pPr>
        <w:pStyle w:val="TOC2"/>
        <w:rPr>
          <w:rFonts w:eastAsiaTheme="minorEastAsia"/>
          <w:noProof/>
          <w:kern w:val="2"/>
          <w:lang w:eastAsia="en-AU"/>
          <w14:ligatures w14:val="standardContextual"/>
        </w:rPr>
      </w:pPr>
      <w:hyperlink w:anchor="_Toc155860420" w:history="1">
        <w:r w:rsidR="00014465" w:rsidRPr="00CE2928">
          <w:rPr>
            <w:rStyle w:val="Hyperlink"/>
            <w:noProof/>
          </w:rPr>
          <w:t>Value for money</w:t>
        </w:r>
        <w:r w:rsidR="00014465">
          <w:rPr>
            <w:noProof/>
            <w:webHidden/>
          </w:rPr>
          <w:tab/>
        </w:r>
        <w:r w:rsidR="00014465">
          <w:rPr>
            <w:noProof/>
            <w:webHidden/>
          </w:rPr>
          <w:fldChar w:fldCharType="begin"/>
        </w:r>
        <w:r w:rsidR="00014465">
          <w:rPr>
            <w:noProof/>
            <w:webHidden/>
          </w:rPr>
          <w:instrText xml:space="preserve"> PAGEREF _Toc155860420 \h </w:instrText>
        </w:r>
        <w:r w:rsidR="00014465">
          <w:rPr>
            <w:noProof/>
            <w:webHidden/>
          </w:rPr>
        </w:r>
        <w:r w:rsidR="00014465">
          <w:rPr>
            <w:noProof/>
            <w:webHidden/>
          </w:rPr>
          <w:fldChar w:fldCharType="separate"/>
        </w:r>
        <w:r w:rsidR="00581851">
          <w:rPr>
            <w:noProof/>
            <w:webHidden/>
          </w:rPr>
          <w:t>8</w:t>
        </w:r>
        <w:r w:rsidR="00014465">
          <w:rPr>
            <w:noProof/>
            <w:webHidden/>
          </w:rPr>
          <w:fldChar w:fldCharType="end"/>
        </w:r>
      </w:hyperlink>
    </w:p>
    <w:p w14:paraId="094A7414" w14:textId="4DEE754E" w:rsidR="00014465" w:rsidRDefault="00000000">
      <w:pPr>
        <w:pStyle w:val="TOC1"/>
        <w:rPr>
          <w:rFonts w:eastAsiaTheme="minorEastAsia"/>
          <w:b w:val="0"/>
          <w:noProof/>
          <w:kern w:val="2"/>
          <w:sz w:val="22"/>
          <w:lang w:eastAsia="en-AU"/>
          <w14:ligatures w14:val="standardContextual"/>
        </w:rPr>
      </w:pPr>
      <w:hyperlink w:anchor="_Toc155860421" w:history="1">
        <w:r w:rsidR="00014465" w:rsidRPr="00CE2928">
          <w:rPr>
            <w:rStyle w:val="Hyperlink"/>
            <w:noProof/>
          </w:rPr>
          <w:t>Procurement methods</w:t>
        </w:r>
        <w:r w:rsidR="00014465">
          <w:rPr>
            <w:noProof/>
            <w:webHidden/>
          </w:rPr>
          <w:tab/>
        </w:r>
        <w:r w:rsidR="00014465">
          <w:rPr>
            <w:noProof/>
            <w:webHidden/>
          </w:rPr>
          <w:fldChar w:fldCharType="begin"/>
        </w:r>
        <w:r w:rsidR="00014465">
          <w:rPr>
            <w:noProof/>
            <w:webHidden/>
          </w:rPr>
          <w:instrText xml:space="preserve"> PAGEREF _Toc155860421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0853C8F5" w14:textId="20F7794C" w:rsidR="00014465" w:rsidRDefault="00000000">
      <w:pPr>
        <w:pStyle w:val="TOC2"/>
        <w:rPr>
          <w:rFonts w:eastAsiaTheme="minorEastAsia"/>
          <w:noProof/>
          <w:kern w:val="2"/>
          <w:lang w:eastAsia="en-AU"/>
          <w14:ligatures w14:val="standardContextual"/>
        </w:rPr>
      </w:pPr>
      <w:hyperlink w:anchor="_Toc155860422" w:history="1">
        <w:r w:rsidR="00014465" w:rsidRPr="00CE2928">
          <w:rPr>
            <w:rStyle w:val="Hyperlink"/>
            <w:noProof/>
          </w:rPr>
          <w:t>Open tender</w:t>
        </w:r>
        <w:r w:rsidR="00014465">
          <w:rPr>
            <w:noProof/>
            <w:webHidden/>
          </w:rPr>
          <w:tab/>
        </w:r>
        <w:r w:rsidR="00014465">
          <w:rPr>
            <w:noProof/>
            <w:webHidden/>
          </w:rPr>
          <w:fldChar w:fldCharType="begin"/>
        </w:r>
        <w:r w:rsidR="00014465">
          <w:rPr>
            <w:noProof/>
            <w:webHidden/>
          </w:rPr>
          <w:instrText xml:space="preserve"> PAGEREF _Toc155860422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1151207F" w14:textId="63873D8B" w:rsidR="00014465" w:rsidRDefault="00000000">
      <w:pPr>
        <w:pStyle w:val="TOC2"/>
        <w:rPr>
          <w:rFonts w:eastAsiaTheme="minorEastAsia"/>
          <w:noProof/>
          <w:kern w:val="2"/>
          <w:lang w:eastAsia="en-AU"/>
          <w14:ligatures w14:val="standardContextual"/>
        </w:rPr>
      </w:pPr>
      <w:hyperlink w:anchor="_Toc155860423" w:history="1">
        <w:r w:rsidR="00014465" w:rsidRPr="00CE2928">
          <w:rPr>
            <w:rStyle w:val="Hyperlink"/>
            <w:noProof/>
          </w:rPr>
          <w:t>Limited tender</w:t>
        </w:r>
        <w:r w:rsidR="00014465">
          <w:rPr>
            <w:noProof/>
            <w:webHidden/>
          </w:rPr>
          <w:tab/>
        </w:r>
        <w:r w:rsidR="00014465">
          <w:rPr>
            <w:noProof/>
            <w:webHidden/>
          </w:rPr>
          <w:fldChar w:fldCharType="begin"/>
        </w:r>
        <w:r w:rsidR="00014465">
          <w:rPr>
            <w:noProof/>
            <w:webHidden/>
          </w:rPr>
          <w:instrText xml:space="preserve"> PAGEREF _Toc155860423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7058522B" w14:textId="779841F2" w:rsidR="00014465" w:rsidRDefault="00000000">
      <w:pPr>
        <w:pStyle w:val="TOC2"/>
        <w:rPr>
          <w:rFonts w:eastAsiaTheme="minorEastAsia"/>
          <w:noProof/>
          <w:kern w:val="2"/>
          <w:lang w:eastAsia="en-AU"/>
          <w14:ligatures w14:val="standardContextual"/>
        </w:rPr>
      </w:pPr>
      <w:hyperlink w:anchor="_Toc155860424" w:history="1">
        <w:r w:rsidR="00014465" w:rsidRPr="00CE2928">
          <w:rPr>
            <w:rStyle w:val="Hyperlink"/>
            <w:noProof/>
          </w:rPr>
          <w:t>Standing offers and panels</w:t>
        </w:r>
        <w:r w:rsidR="00014465">
          <w:rPr>
            <w:noProof/>
            <w:webHidden/>
          </w:rPr>
          <w:tab/>
        </w:r>
        <w:r w:rsidR="00014465">
          <w:rPr>
            <w:noProof/>
            <w:webHidden/>
          </w:rPr>
          <w:fldChar w:fldCharType="begin"/>
        </w:r>
        <w:r w:rsidR="00014465">
          <w:rPr>
            <w:noProof/>
            <w:webHidden/>
          </w:rPr>
          <w:instrText xml:space="preserve"> PAGEREF _Toc155860424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07553801" w14:textId="16107642" w:rsidR="00014465" w:rsidRDefault="00000000">
      <w:pPr>
        <w:pStyle w:val="TOC2"/>
        <w:rPr>
          <w:rFonts w:eastAsiaTheme="minorEastAsia"/>
          <w:noProof/>
          <w:kern w:val="2"/>
          <w:lang w:eastAsia="en-AU"/>
          <w14:ligatures w14:val="standardContextual"/>
        </w:rPr>
      </w:pPr>
      <w:hyperlink w:anchor="_Toc155860425" w:history="1">
        <w:r w:rsidR="00014465" w:rsidRPr="00CE2928">
          <w:rPr>
            <w:rStyle w:val="Hyperlink"/>
            <w:noProof/>
          </w:rPr>
          <w:t>Whole of Australian Government arrangements</w:t>
        </w:r>
        <w:r w:rsidR="00014465">
          <w:rPr>
            <w:noProof/>
            <w:webHidden/>
          </w:rPr>
          <w:tab/>
        </w:r>
        <w:r w:rsidR="00014465">
          <w:rPr>
            <w:noProof/>
            <w:webHidden/>
          </w:rPr>
          <w:fldChar w:fldCharType="begin"/>
        </w:r>
        <w:r w:rsidR="00014465">
          <w:rPr>
            <w:noProof/>
            <w:webHidden/>
          </w:rPr>
          <w:instrText xml:space="preserve"> PAGEREF _Toc155860425 \h </w:instrText>
        </w:r>
        <w:r w:rsidR="00014465">
          <w:rPr>
            <w:noProof/>
            <w:webHidden/>
          </w:rPr>
        </w:r>
        <w:r w:rsidR="00014465">
          <w:rPr>
            <w:noProof/>
            <w:webHidden/>
          </w:rPr>
          <w:fldChar w:fldCharType="separate"/>
        </w:r>
        <w:r w:rsidR="00581851">
          <w:rPr>
            <w:noProof/>
            <w:webHidden/>
          </w:rPr>
          <w:t>10</w:t>
        </w:r>
        <w:r w:rsidR="00014465">
          <w:rPr>
            <w:noProof/>
            <w:webHidden/>
          </w:rPr>
          <w:fldChar w:fldCharType="end"/>
        </w:r>
      </w:hyperlink>
    </w:p>
    <w:p w14:paraId="6B5245EB" w14:textId="50351B68" w:rsidR="00014465" w:rsidRDefault="00000000">
      <w:pPr>
        <w:pStyle w:val="TOC2"/>
        <w:rPr>
          <w:rFonts w:eastAsiaTheme="minorEastAsia"/>
          <w:noProof/>
          <w:kern w:val="2"/>
          <w:lang w:eastAsia="en-AU"/>
          <w14:ligatures w14:val="standardContextual"/>
        </w:rPr>
      </w:pPr>
      <w:hyperlink w:anchor="_Toc155860426" w:history="1">
        <w:r w:rsidR="00014465" w:rsidRPr="00CE2928">
          <w:rPr>
            <w:rStyle w:val="Hyperlink"/>
            <w:noProof/>
          </w:rPr>
          <w:t>Limited tender ATM – step-by-step process</w:t>
        </w:r>
        <w:r w:rsidR="00014465">
          <w:rPr>
            <w:noProof/>
            <w:webHidden/>
          </w:rPr>
          <w:tab/>
        </w:r>
        <w:r w:rsidR="00014465">
          <w:rPr>
            <w:noProof/>
            <w:webHidden/>
          </w:rPr>
          <w:fldChar w:fldCharType="begin"/>
        </w:r>
        <w:r w:rsidR="00014465">
          <w:rPr>
            <w:noProof/>
            <w:webHidden/>
          </w:rPr>
          <w:instrText xml:space="preserve"> PAGEREF _Toc155860426 \h </w:instrText>
        </w:r>
        <w:r w:rsidR="00014465">
          <w:rPr>
            <w:noProof/>
            <w:webHidden/>
          </w:rPr>
        </w:r>
        <w:r w:rsidR="00014465">
          <w:rPr>
            <w:noProof/>
            <w:webHidden/>
          </w:rPr>
          <w:fldChar w:fldCharType="separate"/>
        </w:r>
        <w:r w:rsidR="00581851">
          <w:rPr>
            <w:noProof/>
            <w:webHidden/>
          </w:rPr>
          <w:t>11</w:t>
        </w:r>
        <w:r w:rsidR="00014465">
          <w:rPr>
            <w:noProof/>
            <w:webHidden/>
          </w:rPr>
          <w:fldChar w:fldCharType="end"/>
        </w:r>
      </w:hyperlink>
    </w:p>
    <w:p w14:paraId="4E51341E" w14:textId="03432C87" w:rsidR="00014465" w:rsidRDefault="00000000">
      <w:pPr>
        <w:pStyle w:val="TOC2"/>
        <w:rPr>
          <w:rFonts w:eastAsiaTheme="minorEastAsia"/>
          <w:noProof/>
          <w:kern w:val="2"/>
          <w:lang w:eastAsia="en-AU"/>
          <w14:ligatures w14:val="standardContextual"/>
        </w:rPr>
      </w:pPr>
      <w:hyperlink w:anchor="_Toc155860427" w:history="1">
        <w:r w:rsidR="00014465" w:rsidRPr="00CE2928">
          <w:rPr>
            <w:rStyle w:val="Hyperlink"/>
            <w:noProof/>
          </w:rPr>
          <w:t>Open tender ATM – step-by-step process</w:t>
        </w:r>
        <w:r w:rsidR="00014465">
          <w:rPr>
            <w:noProof/>
            <w:webHidden/>
          </w:rPr>
          <w:tab/>
        </w:r>
        <w:r w:rsidR="00014465">
          <w:rPr>
            <w:noProof/>
            <w:webHidden/>
          </w:rPr>
          <w:fldChar w:fldCharType="begin"/>
        </w:r>
        <w:r w:rsidR="00014465">
          <w:rPr>
            <w:noProof/>
            <w:webHidden/>
          </w:rPr>
          <w:instrText xml:space="preserve"> PAGEREF _Toc155860427 \h </w:instrText>
        </w:r>
        <w:r w:rsidR="00014465">
          <w:rPr>
            <w:noProof/>
            <w:webHidden/>
          </w:rPr>
        </w:r>
        <w:r w:rsidR="00014465">
          <w:rPr>
            <w:noProof/>
            <w:webHidden/>
          </w:rPr>
          <w:fldChar w:fldCharType="separate"/>
        </w:r>
        <w:r w:rsidR="00581851">
          <w:rPr>
            <w:noProof/>
            <w:webHidden/>
          </w:rPr>
          <w:t>13</w:t>
        </w:r>
        <w:r w:rsidR="00014465">
          <w:rPr>
            <w:noProof/>
            <w:webHidden/>
          </w:rPr>
          <w:fldChar w:fldCharType="end"/>
        </w:r>
      </w:hyperlink>
    </w:p>
    <w:p w14:paraId="1C494488" w14:textId="56738D2B" w:rsidR="00014465" w:rsidRDefault="00000000">
      <w:pPr>
        <w:pStyle w:val="TOC2"/>
        <w:rPr>
          <w:rFonts w:eastAsiaTheme="minorEastAsia"/>
          <w:noProof/>
          <w:kern w:val="2"/>
          <w:lang w:eastAsia="en-AU"/>
          <w14:ligatures w14:val="standardContextual"/>
        </w:rPr>
      </w:pPr>
      <w:hyperlink w:anchor="_Toc155860428" w:history="1">
        <w:r w:rsidR="00014465" w:rsidRPr="00CE2928">
          <w:rPr>
            <w:rStyle w:val="Hyperlink"/>
            <w:noProof/>
          </w:rPr>
          <w:t>Other ways the Australian Government can engage with businesses during the procurement process</w:t>
        </w:r>
        <w:r w:rsidR="00014465">
          <w:rPr>
            <w:noProof/>
            <w:webHidden/>
          </w:rPr>
          <w:tab/>
        </w:r>
        <w:r w:rsidR="00014465">
          <w:rPr>
            <w:noProof/>
            <w:webHidden/>
          </w:rPr>
          <w:fldChar w:fldCharType="begin"/>
        </w:r>
        <w:r w:rsidR="00014465">
          <w:rPr>
            <w:noProof/>
            <w:webHidden/>
          </w:rPr>
          <w:instrText xml:space="preserve"> PAGEREF _Toc155860428 \h </w:instrText>
        </w:r>
        <w:r w:rsidR="00014465">
          <w:rPr>
            <w:noProof/>
            <w:webHidden/>
          </w:rPr>
        </w:r>
        <w:r w:rsidR="00014465">
          <w:rPr>
            <w:noProof/>
            <w:webHidden/>
          </w:rPr>
          <w:fldChar w:fldCharType="separate"/>
        </w:r>
        <w:r w:rsidR="00581851">
          <w:rPr>
            <w:noProof/>
            <w:webHidden/>
          </w:rPr>
          <w:t>14</w:t>
        </w:r>
        <w:r w:rsidR="00014465">
          <w:rPr>
            <w:noProof/>
            <w:webHidden/>
          </w:rPr>
          <w:fldChar w:fldCharType="end"/>
        </w:r>
      </w:hyperlink>
    </w:p>
    <w:p w14:paraId="41D6E2E2" w14:textId="32C4A124" w:rsidR="00014465" w:rsidRDefault="00000000">
      <w:pPr>
        <w:pStyle w:val="TOC1"/>
        <w:rPr>
          <w:rFonts w:eastAsiaTheme="minorEastAsia"/>
          <w:b w:val="0"/>
          <w:noProof/>
          <w:kern w:val="2"/>
          <w:sz w:val="22"/>
          <w:lang w:eastAsia="en-AU"/>
          <w14:ligatures w14:val="standardContextual"/>
        </w:rPr>
      </w:pPr>
      <w:hyperlink w:anchor="_Toc155860429" w:history="1">
        <w:r w:rsidR="00014465" w:rsidRPr="00CE2928">
          <w:rPr>
            <w:rStyle w:val="Hyperlink"/>
            <w:noProof/>
          </w:rPr>
          <w:t>Where can I start?</w:t>
        </w:r>
        <w:r w:rsidR="00014465">
          <w:rPr>
            <w:noProof/>
            <w:webHidden/>
          </w:rPr>
          <w:tab/>
        </w:r>
        <w:r w:rsidR="00014465">
          <w:rPr>
            <w:noProof/>
            <w:webHidden/>
          </w:rPr>
          <w:fldChar w:fldCharType="begin"/>
        </w:r>
        <w:r w:rsidR="00014465">
          <w:rPr>
            <w:noProof/>
            <w:webHidden/>
          </w:rPr>
          <w:instrText xml:space="preserve"> PAGEREF _Toc155860429 \h </w:instrText>
        </w:r>
        <w:r w:rsidR="00014465">
          <w:rPr>
            <w:noProof/>
            <w:webHidden/>
          </w:rPr>
        </w:r>
        <w:r w:rsidR="00014465">
          <w:rPr>
            <w:noProof/>
            <w:webHidden/>
          </w:rPr>
          <w:fldChar w:fldCharType="separate"/>
        </w:r>
        <w:r w:rsidR="00581851">
          <w:rPr>
            <w:noProof/>
            <w:webHidden/>
          </w:rPr>
          <w:t>15</w:t>
        </w:r>
        <w:r w:rsidR="00014465">
          <w:rPr>
            <w:noProof/>
            <w:webHidden/>
          </w:rPr>
          <w:fldChar w:fldCharType="end"/>
        </w:r>
      </w:hyperlink>
    </w:p>
    <w:p w14:paraId="6BCACAE5" w14:textId="4B8C0052" w:rsidR="00014465" w:rsidRDefault="00000000">
      <w:pPr>
        <w:pStyle w:val="TOC2"/>
        <w:rPr>
          <w:rFonts w:eastAsiaTheme="minorEastAsia"/>
          <w:noProof/>
          <w:kern w:val="2"/>
          <w:lang w:eastAsia="en-AU"/>
          <w14:ligatures w14:val="standardContextual"/>
        </w:rPr>
      </w:pPr>
      <w:hyperlink w:anchor="_Toc155860430" w:history="1">
        <w:r w:rsidR="00014465" w:rsidRPr="00CE2928">
          <w:rPr>
            <w:rStyle w:val="Hyperlink"/>
            <w:b/>
            <w:noProof/>
          </w:rPr>
          <w:t>TIPS</w:t>
        </w:r>
        <w:r w:rsidR="00014465" w:rsidRPr="00CE2928">
          <w:rPr>
            <w:rStyle w:val="Hyperlink"/>
            <w:noProof/>
          </w:rPr>
          <w:t xml:space="preserve"> for all businesses</w:t>
        </w:r>
        <w:r w:rsidR="00014465">
          <w:rPr>
            <w:noProof/>
            <w:webHidden/>
          </w:rPr>
          <w:tab/>
        </w:r>
        <w:r w:rsidR="00014465">
          <w:rPr>
            <w:noProof/>
            <w:webHidden/>
          </w:rPr>
          <w:fldChar w:fldCharType="begin"/>
        </w:r>
        <w:r w:rsidR="00014465">
          <w:rPr>
            <w:noProof/>
            <w:webHidden/>
          </w:rPr>
          <w:instrText xml:space="preserve"> PAGEREF _Toc155860430 \h </w:instrText>
        </w:r>
        <w:r w:rsidR="00014465">
          <w:rPr>
            <w:noProof/>
            <w:webHidden/>
          </w:rPr>
        </w:r>
        <w:r w:rsidR="00014465">
          <w:rPr>
            <w:noProof/>
            <w:webHidden/>
          </w:rPr>
          <w:fldChar w:fldCharType="separate"/>
        </w:r>
        <w:r w:rsidR="00581851">
          <w:rPr>
            <w:noProof/>
            <w:webHidden/>
          </w:rPr>
          <w:t>15</w:t>
        </w:r>
        <w:r w:rsidR="00014465">
          <w:rPr>
            <w:noProof/>
            <w:webHidden/>
          </w:rPr>
          <w:fldChar w:fldCharType="end"/>
        </w:r>
      </w:hyperlink>
    </w:p>
    <w:p w14:paraId="5DD6A861" w14:textId="5A9B7236" w:rsidR="00014465" w:rsidRDefault="00000000">
      <w:pPr>
        <w:pStyle w:val="TOC2"/>
        <w:rPr>
          <w:rFonts w:eastAsiaTheme="minorEastAsia"/>
          <w:noProof/>
          <w:kern w:val="2"/>
          <w:lang w:eastAsia="en-AU"/>
          <w14:ligatures w14:val="standardContextual"/>
        </w:rPr>
      </w:pPr>
      <w:hyperlink w:anchor="_Toc155860431" w:history="1">
        <w:r w:rsidR="00014465" w:rsidRPr="00CE2928">
          <w:rPr>
            <w:rStyle w:val="Hyperlink"/>
            <w:b/>
            <w:noProof/>
          </w:rPr>
          <w:t>TIPS</w:t>
        </w:r>
        <w:r w:rsidR="00014465" w:rsidRPr="00CE2928">
          <w:rPr>
            <w:rStyle w:val="Hyperlink"/>
            <w:noProof/>
          </w:rPr>
          <w:t xml:space="preserve"> for sector specific businesses</w:t>
        </w:r>
        <w:r w:rsidR="00014465">
          <w:rPr>
            <w:noProof/>
            <w:webHidden/>
          </w:rPr>
          <w:tab/>
        </w:r>
        <w:r w:rsidR="00014465">
          <w:rPr>
            <w:noProof/>
            <w:webHidden/>
          </w:rPr>
          <w:fldChar w:fldCharType="begin"/>
        </w:r>
        <w:r w:rsidR="00014465">
          <w:rPr>
            <w:noProof/>
            <w:webHidden/>
          </w:rPr>
          <w:instrText xml:space="preserve"> PAGEREF _Toc155860431 \h </w:instrText>
        </w:r>
        <w:r w:rsidR="00014465">
          <w:rPr>
            <w:noProof/>
            <w:webHidden/>
          </w:rPr>
        </w:r>
        <w:r w:rsidR="00014465">
          <w:rPr>
            <w:noProof/>
            <w:webHidden/>
          </w:rPr>
          <w:fldChar w:fldCharType="separate"/>
        </w:r>
        <w:r w:rsidR="00581851">
          <w:rPr>
            <w:noProof/>
            <w:webHidden/>
          </w:rPr>
          <w:t>15</w:t>
        </w:r>
        <w:r w:rsidR="00014465">
          <w:rPr>
            <w:noProof/>
            <w:webHidden/>
          </w:rPr>
          <w:fldChar w:fldCharType="end"/>
        </w:r>
      </w:hyperlink>
    </w:p>
    <w:p w14:paraId="0F066E61" w14:textId="05A1C78E" w:rsidR="00014465" w:rsidRDefault="00000000">
      <w:pPr>
        <w:pStyle w:val="TOC2"/>
        <w:rPr>
          <w:rFonts w:eastAsiaTheme="minorEastAsia"/>
          <w:noProof/>
          <w:kern w:val="2"/>
          <w:lang w:eastAsia="en-AU"/>
          <w14:ligatures w14:val="standardContextual"/>
        </w:rPr>
      </w:pPr>
      <w:hyperlink w:anchor="_Toc155860432" w:history="1">
        <w:r w:rsidR="00014465" w:rsidRPr="00CE2928">
          <w:rPr>
            <w:rStyle w:val="Hyperlink"/>
            <w:noProof/>
          </w:rPr>
          <w:t>AusTender</w:t>
        </w:r>
        <w:r w:rsidR="00014465">
          <w:rPr>
            <w:noProof/>
            <w:webHidden/>
          </w:rPr>
          <w:tab/>
        </w:r>
        <w:r w:rsidR="00014465">
          <w:rPr>
            <w:noProof/>
            <w:webHidden/>
          </w:rPr>
          <w:fldChar w:fldCharType="begin"/>
        </w:r>
        <w:r w:rsidR="00014465">
          <w:rPr>
            <w:noProof/>
            <w:webHidden/>
          </w:rPr>
          <w:instrText xml:space="preserve"> PAGEREF _Toc155860432 \h </w:instrText>
        </w:r>
        <w:r w:rsidR="00014465">
          <w:rPr>
            <w:noProof/>
            <w:webHidden/>
          </w:rPr>
        </w:r>
        <w:r w:rsidR="00014465">
          <w:rPr>
            <w:noProof/>
            <w:webHidden/>
          </w:rPr>
          <w:fldChar w:fldCharType="separate"/>
        </w:r>
        <w:r w:rsidR="00581851">
          <w:rPr>
            <w:noProof/>
            <w:webHidden/>
          </w:rPr>
          <w:t>16</w:t>
        </w:r>
        <w:r w:rsidR="00014465">
          <w:rPr>
            <w:noProof/>
            <w:webHidden/>
          </w:rPr>
          <w:fldChar w:fldCharType="end"/>
        </w:r>
      </w:hyperlink>
    </w:p>
    <w:p w14:paraId="04C52A40" w14:textId="56EFE19A" w:rsidR="00014465" w:rsidRDefault="00000000">
      <w:pPr>
        <w:pStyle w:val="TOC1"/>
        <w:rPr>
          <w:rFonts w:eastAsiaTheme="minorEastAsia"/>
          <w:b w:val="0"/>
          <w:noProof/>
          <w:kern w:val="2"/>
          <w:sz w:val="22"/>
          <w:lang w:eastAsia="en-AU"/>
          <w14:ligatures w14:val="standardContextual"/>
        </w:rPr>
      </w:pPr>
      <w:hyperlink w:anchor="_Toc155860433" w:history="1">
        <w:r w:rsidR="00014465" w:rsidRPr="00CE2928">
          <w:rPr>
            <w:rStyle w:val="Hyperlink"/>
            <w:noProof/>
          </w:rPr>
          <w:t>Preparing a response to an ATM</w:t>
        </w:r>
        <w:r w:rsidR="00014465">
          <w:rPr>
            <w:noProof/>
            <w:webHidden/>
          </w:rPr>
          <w:tab/>
        </w:r>
        <w:r w:rsidR="00014465">
          <w:rPr>
            <w:noProof/>
            <w:webHidden/>
          </w:rPr>
          <w:fldChar w:fldCharType="begin"/>
        </w:r>
        <w:r w:rsidR="00014465">
          <w:rPr>
            <w:noProof/>
            <w:webHidden/>
          </w:rPr>
          <w:instrText xml:space="preserve"> PAGEREF _Toc155860433 \h </w:instrText>
        </w:r>
        <w:r w:rsidR="00014465">
          <w:rPr>
            <w:noProof/>
            <w:webHidden/>
          </w:rPr>
        </w:r>
        <w:r w:rsidR="00014465">
          <w:rPr>
            <w:noProof/>
            <w:webHidden/>
          </w:rPr>
          <w:fldChar w:fldCharType="separate"/>
        </w:r>
        <w:r w:rsidR="00581851">
          <w:rPr>
            <w:noProof/>
            <w:webHidden/>
          </w:rPr>
          <w:t>17</w:t>
        </w:r>
        <w:r w:rsidR="00014465">
          <w:rPr>
            <w:noProof/>
            <w:webHidden/>
          </w:rPr>
          <w:fldChar w:fldCharType="end"/>
        </w:r>
      </w:hyperlink>
    </w:p>
    <w:p w14:paraId="1AF296C5" w14:textId="0B418000" w:rsidR="00014465" w:rsidRDefault="00000000">
      <w:pPr>
        <w:pStyle w:val="TOC2"/>
        <w:rPr>
          <w:rFonts w:eastAsiaTheme="minorEastAsia"/>
          <w:noProof/>
          <w:kern w:val="2"/>
          <w:lang w:eastAsia="en-AU"/>
          <w14:ligatures w14:val="standardContextual"/>
        </w:rPr>
      </w:pPr>
      <w:hyperlink w:anchor="_Toc155860434" w:history="1">
        <w:r w:rsidR="00014465" w:rsidRPr="00CE2928">
          <w:rPr>
            <w:rStyle w:val="Hyperlink"/>
            <w:noProof/>
          </w:rPr>
          <w:t>Common elements in ATM documentation</w:t>
        </w:r>
        <w:r w:rsidR="00014465">
          <w:rPr>
            <w:noProof/>
            <w:webHidden/>
          </w:rPr>
          <w:tab/>
        </w:r>
        <w:r w:rsidR="00014465">
          <w:rPr>
            <w:noProof/>
            <w:webHidden/>
          </w:rPr>
          <w:fldChar w:fldCharType="begin"/>
        </w:r>
        <w:r w:rsidR="00014465">
          <w:rPr>
            <w:noProof/>
            <w:webHidden/>
          </w:rPr>
          <w:instrText xml:space="preserve"> PAGEREF _Toc155860434 \h </w:instrText>
        </w:r>
        <w:r w:rsidR="00014465">
          <w:rPr>
            <w:noProof/>
            <w:webHidden/>
          </w:rPr>
        </w:r>
        <w:r w:rsidR="00014465">
          <w:rPr>
            <w:noProof/>
            <w:webHidden/>
          </w:rPr>
          <w:fldChar w:fldCharType="separate"/>
        </w:r>
        <w:r w:rsidR="00581851">
          <w:rPr>
            <w:noProof/>
            <w:webHidden/>
          </w:rPr>
          <w:t>17</w:t>
        </w:r>
        <w:r w:rsidR="00014465">
          <w:rPr>
            <w:noProof/>
            <w:webHidden/>
          </w:rPr>
          <w:fldChar w:fldCharType="end"/>
        </w:r>
      </w:hyperlink>
    </w:p>
    <w:p w14:paraId="678EBBE9" w14:textId="02896904" w:rsidR="00014465" w:rsidRDefault="00000000">
      <w:pPr>
        <w:pStyle w:val="TOC1"/>
        <w:rPr>
          <w:rFonts w:eastAsiaTheme="minorEastAsia"/>
          <w:b w:val="0"/>
          <w:noProof/>
          <w:kern w:val="2"/>
          <w:sz w:val="22"/>
          <w:lang w:eastAsia="en-AU"/>
          <w14:ligatures w14:val="standardContextual"/>
        </w:rPr>
      </w:pPr>
      <w:hyperlink w:anchor="_Toc155860435" w:history="1">
        <w:r w:rsidR="00014465" w:rsidRPr="00CE2928">
          <w:rPr>
            <w:rStyle w:val="Hyperlink"/>
            <w:noProof/>
          </w:rPr>
          <w:t>Procurement Connected Polices</w:t>
        </w:r>
        <w:r w:rsidR="00014465">
          <w:rPr>
            <w:noProof/>
            <w:webHidden/>
          </w:rPr>
          <w:tab/>
        </w:r>
        <w:r w:rsidR="00014465">
          <w:rPr>
            <w:noProof/>
            <w:webHidden/>
          </w:rPr>
          <w:fldChar w:fldCharType="begin"/>
        </w:r>
        <w:r w:rsidR="00014465">
          <w:rPr>
            <w:noProof/>
            <w:webHidden/>
          </w:rPr>
          <w:instrText xml:space="preserve"> PAGEREF _Toc155860435 \h </w:instrText>
        </w:r>
        <w:r w:rsidR="00014465">
          <w:rPr>
            <w:noProof/>
            <w:webHidden/>
          </w:rPr>
        </w:r>
        <w:r w:rsidR="00014465">
          <w:rPr>
            <w:noProof/>
            <w:webHidden/>
          </w:rPr>
          <w:fldChar w:fldCharType="separate"/>
        </w:r>
        <w:r w:rsidR="00581851">
          <w:rPr>
            <w:noProof/>
            <w:webHidden/>
          </w:rPr>
          <w:t>18</w:t>
        </w:r>
        <w:r w:rsidR="00014465">
          <w:rPr>
            <w:noProof/>
            <w:webHidden/>
          </w:rPr>
          <w:fldChar w:fldCharType="end"/>
        </w:r>
      </w:hyperlink>
    </w:p>
    <w:p w14:paraId="69CBCA42" w14:textId="2DB0206A" w:rsidR="00014465" w:rsidRDefault="00000000">
      <w:pPr>
        <w:pStyle w:val="TOC2"/>
        <w:rPr>
          <w:rFonts w:eastAsiaTheme="minorEastAsia"/>
          <w:noProof/>
          <w:kern w:val="2"/>
          <w:lang w:eastAsia="en-AU"/>
          <w14:ligatures w14:val="standardContextual"/>
        </w:rPr>
      </w:pPr>
      <w:hyperlink w:anchor="_Toc155860436" w:history="1">
        <w:r w:rsidR="00014465" w:rsidRPr="00CE2928">
          <w:rPr>
            <w:rStyle w:val="Hyperlink"/>
            <w:noProof/>
          </w:rPr>
          <w:t>PCPs that may be relevant to your business</w:t>
        </w:r>
        <w:r w:rsidR="00014465">
          <w:rPr>
            <w:noProof/>
            <w:webHidden/>
          </w:rPr>
          <w:tab/>
        </w:r>
        <w:r w:rsidR="00014465">
          <w:rPr>
            <w:noProof/>
            <w:webHidden/>
          </w:rPr>
          <w:fldChar w:fldCharType="begin"/>
        </w:r>
        <w:r w:rsidR="00014465">
          <w:rPr>
            <w:noProof/>
            <w:webHidden/>
          </w:rPr>
          <w:instrText xml:space="preserve"> PAGEREF _Toc155860436 \h </w:instrText>
        </w:r>
        <w:r w:rsidR="00014465">
          <w:rPr>
            <w:noProof/>
            <w:webHidden/>
          </w:rPr>
        </w:r>
        <w:r w:rsidR="00014465">
          <w:rPr>
            <w:noProof/>
            <w:webHidden/>
          </w:rPr>
          <w:fldChar w:fldCharType="separate"/>
        </w:r>
        <w:r w:rsidR="00581851">
          <w:rPr>
            <w:noProof/>
            <w:webHidden/>
          </w:rPr>
          <w:t>18</w:t>
        </w:r>
        <w:r w:rsidR="00014465">
          <w:rPr>
            <w:noProof/>
            <w:webHidden/>
          </w:rPr>
          <w:fldChar w:fldCharType="end"/>
        </w:r>
      </w:hyperlink>
    </w:p>
    <w:p w14:paraId="4A1B4667" w14:textId="7EEE58EA" w:rsidR="00014465" w:rsidRDefault="00000000">
      <w:pPr>
        <w:pStyle w:val="TOC1"/>
        <w:rPr>
          <w:rFonts w:eastAsiaTheme="minorEastAsia"/>
          <w:b w:val="0"/>
          <w:noProof/>
          <w:kern w:val="2"/>
          <w:sz w:val="22"/>
          <w:lang w:eastAsia="en-AU"/>
          <w14:ligatures w14:val="standardContextual"/>
        </w:rPr>
      </w:pPr>
      <w:hyperlink w:anchor="_Toc155860437" w:history="1">
        <w:r w:rsidR="00014465" w:rsidRPr="00CE2928">
          <w:rPr>
            <w:rStyle w:val="Hyperlink"/>
            <w:noProof/>
          </w:rPr>
          <w:t>Responding to an ATM</w:t>
        </w:r>
        <w:r w:rsidR="00014465">
          <w:rPr>
            <w:noProof/>
            <w:webHidden/>
          </w:rPr>
          <w:tab/>
        </w:r>
        <w:r w:rsidR="00014465">
          <w:rPr>
            <w:noProof/>
            <w:webHidden/>
          </w:rPr>
          <w:fldChar w:fldCharType="begin"/>
        </w:r>
        <w:r w:rsidR="00014465">
          <w:rPr>
            <w:noProof/>
            <w:webHidden/>
          </w:rPr>
          <w:instrText xml:space="preserve"> PAGEREF _Toc155860437 \h </w:instrText>
        </w:r>
        <w:r w:rsidR="00014465">
          <w:rPr>
            <w:noProof/>
            <w:webHidden/>
          </w:rPr>
        </w:r>
        <w:r w:rsidR="00014465">
          <w:rPr>
            <w:noProof/>
            <w:webHidden/>
          </w:rPr>
          <w:fldChar w:fldCharType="separate"/>
        </w:r>
        <w:r w:rsidR="00581851">
          <w:rPr>
            <w:noProof/>
            <w:webHidden/>
          </w:rPr>
          <w:t>19</w:t>
        </w:r>
        <w:r w:rsidR="00014465">
          <w:rPr>
            <w:noProof/>
            <w:webHidden/>
          </w:rPr>
          <w:fldChar w:fldCharType="end"/>
        </w:r>
      </w:hyperlink>
    </w:p>
    <w:p w14:paraId="1368C3FF" w14:textId="6693A9B5" w:rsidR="00014465" w:rsidRDefault="00000000">
      <w:pPr>
        <w:pStyle w:val="TOC2"/>
        <w:rPr>
          <w:rFonts w:eastAsiaTheme="minorEastAsia"/>
          <w:noProof/>
          <w:kern w:val="2"/>
          <w:lang w:eastAsia="en-AU"/>
          <w14:ligatures w14:val="standardContextual"/>
        </w:rPr>
      </w:pPr>
      <w:hyperlink w:anchor="_Toc155860438" w:history="1">
        <w:r w:rsidR="00014465" w:rsidRPr="00CE2928">
          <w:rPr>
            <w:rStyle w:val="Hyperlink"/>
            <w:noProof/>
          </w:rPr>
          <w:t>Steps for how to respond to an ATM</w:t>
        </w:r>
        <w:r w:rsidR="00014465">
          <w:rPr>
            <w:noProof/>
            <w:webHidden/>
          </w:rPr>
          <w:tab/>
        </w:r>
        <w:r w:rsidR="00014465">
          <w:rPr>
            <w:noProof/>
            <w:webHidden/>
          </w:rPr>
          <w:fldChar w:fldCharType="begin"/>
        </w:r>
        <w:r w:rsidR="00014465">
          <w:rPr>
            <w:noProof/>
            <w:webHidden/>
          </w:rPr>
          <w:instrText xml:space="preserve"> PAGEREF _Toc155860438 \h </w:instrText>
        </w:r>
        <w:r w:rsidR="00014465">
          <w:rPr>
            <w:noProof/>
            <w:webHidden/>
          </w:rPr>
        </w:r>
        <w:r w:rsidR="00014465">
          <w:rPr>
            <w:noProof/>
            <w:webHidden/>
          </w:rPr>
          <w:fldChar w:fldCharType="separate"/>
        </w:r>
        <w:r w:rsidR="00581851">
          <w:rPr>
            <w:noProof/>
            <w:webHidden/>
          </w:rPr>
          <w:t>19</w:t>
        </w:r>
        <w:r w:rsidR="00014465">
          <w:rPr>
            <w:noProof/>
            <w:webHidden/>
          </w:rPr>
          <w:fldChar w:fldCharType="end"/>
        </w:r>
      </w:hyperlink>
    </w:p>
    <w:p w14:paraId="3533DAAA" w14:textId="0E114AD9" w:rsidR="00014465" w:rsidRDefault="00000000">
      <w:pPr>
        <w:pStyle w:val="TOC1"/>
        <w:rPr>
          <w:rFonts w:eastAsiaTheme="minorEastAsia"/>
          <w:b w:val="0"/>
          <w:noProof/>
          <w:kern w:val="2"/>
          <w:sz w:val="22"/>
          <w:lang w:eastAsia="en-AU"/>
          <w14:ligatures w14:val="standardContextual"/>
        </w:rPr>
      </w:pPr>
      <w:hyperlink w:anchor="_Toc155860439" w:history="1">
        <w:r w:rsidR="00014465" w:rsidRPr="00CE2928">
          <w:rPr>
            <w:rStyle w:val="Hyperlink"/>
            <w:noProof/>
          </w:rPr>
          <w:t>What if I win a contract?</w:t>
        </w:r>
        <w:r w:rsidR="00014465">
          <w:rPr>
            <w:noProof/>
            <w:webHidden/>
          </w:rPr>
          <w:tab/>
        </w:r>
        <w:r w:rsidR="00014465">
          <w:rPr>
            <w:noProof/>
            <w:webHidden/>
          </w:rPr>
          <w:fldChar w:fldCharType="begin"/>
        </w:r>
        <w:r w:rsidR="00014465">
          <w:rPr>
            <w:noProof/>
            <w:webHidden/>
          </w:rPr>
          <w:instrText xml:space="preserve"> PAGEREF _Toc155860439 \h </w:instrText>
        </w:r>
        <w:r w:rsidR="00014465">
          <w:rPr>
            <w:noProof/>
            <w:webHidden/>
          </w:rPr>
        </w:r>
        <w:r w:rsidR="00014465">
          <w:rPr>
            <w:noProof/>
            <w:webHidden/>
          </w:rPr>
          <w:fldChar w:fldCharType="separate"/>
        </w:r>
        <w:r w:rsidR="00581851">
          <w:rPr>
            <w:noProof/>
            <w:webHidden/>
          </w:rPr>
          <w:t>21</w:t>
        </w:r>
        <w:r w:rsidR="00014465">
          <w:rPr>
            <w:noProof/>
            <w:webHidden/>
          </w:rPr>
          <w:fldChar w:fldCharType="end"/>
        </w:r>
      </w:hyperlink>
    </w:p>
    <w:p w14:paraId="21587B1C" w14:textId="37FC6400" w:rsidR="00014465" w:rsidRDefault="00000000">
      <w:pPr>
        <w:pStyle w:val="TOC2"/>
        <w:rPr>
          <w:rFonts w:eastAsiaTheme="minorEastAsia"/>
          <w:noProof/>
          <w:kern w:val="2"/>
          <w:lang w:eastAsia="en-AU"/>
          <w14:ligatures w14:val="standardContextual"/>
        </w:rPr>
      </w:pPr>
      <w:hyperlink w:anchor="_Toc155860440" w:history="1">
        <w:r w:rsidR="00014465" w:rsidRPr="00CE2928">
          <w:rPr>
            <w:rStyle w:val="Hyperlink"/>
            <w:noProof/>
          </w:rPr>
          <w:t>Contract management</w:t>
        </w:r>
        <w:r w:rsidR="00014465">
          <w:rPr>
            <w:noProof/>
            <w:webHidden/>
          </w:rPr>
          <w:tab/>
        </w:r>
        <w:r w:rsidR="00014465">
          <w:rPr>
            <w:noProof/>
            <w:webHidden/>
          </w:rPr>
          <w:fldChar w:fldCharType="begin"/>
        </w:r>
        <w:r w:rsidR="00014465">
          <w:rPr>
            <w:noProof/>
            <w:webHidden/>
          </w:rPr>
          <w:instrText xml:space="preserve"> PAGEREF _Toc155860440 \h </w:instrText>
        </w:r>
        <w:r w:rsidR="00014465">
          <w:rPr>
            <w:noProof/>
            <w:webHidden/>
          </w:rPr>
        </w:r>
        <w:r w:rsidR="00014465">
          <w:rPr>
            <w:noProof/>
            <w:webHidden/>
          </w:rPr>
          <w:fldChar w:fldCharType="separate"/>
        </w:r>
        <w:r w:rsidR="00581851">
          <w:rPr>
            <w:noProof/>
            <w:webHidden/>
          </w:rPr>
          <w:t>21</w:t>
        </w:r>
        <w:r w:rsidR="00014465">
          <w:rPr>
            <w:noProof/>
            <w:webHidden/>
          </w:rPr>
          <w:fldChar w:fldCharType="end"/>
        </w:r>
      </w:hyperlink>
    </w:p>
    <w:p w14:paraId="5A77A25C" w14:textId="3A9FAA39" w:rsidR="00014465" w:rsidRDefault="00000000">
      <w:pPr>
        <w:pStyle w:val="TOC2"/>
        <w:rPr>
          <w:rFonts w:eastAsiaTheme="minorEastAsia"/>
          <w:noProof/>
          <w:kern w:val="2"/>
          <w:lang w:eastAsia="en-AU"/>
          <w14:ligatures w14:val="standardContextual"/>
        </w:rPr>
      </w:pPr>
      <w:hyperlink w:anchor="_Toc155860441" w:history="1">
        <w:r w:rsidR="00014465" w:rsidRPr="00CE2928">
          <w:rPr>
            <w:rStyle w:val="Hyperlink"/>
            <w:noProof/>
          </w:rPr>
          <w:t>Working successfully with Australian Government organisations</w:t>
        </w:r>
        <w:r w:rsidR="00014465">
          <w:rPr>
            <w:noProof/>
            <w:webHidden/>
          </w:rPr>
          <w:tab/>
        </w:r>
        <w:r w:rsidR="00014465">
          <w:rPr>
            <w:noProof/>
            <w:webHidden/>
          </w:rPr>
          <w:fldChar w:fldCharType="begin"/>
        </w:r>
        <w:r w:rsidR="00014465">
          <w:rPr>
            <w:noProof/>
            <w:webHidden/>
          </w:rPr>
          <w:instrText xml:space="preserve"> PAGEREF _Toc155860441 \h </w:instrText>
        </w:r>
        <w:r w:rsidR="00014465">
          <w:rPr>
            <w:noProof/>
            <w:webHidden/>
          </w:rPr>
        </w:r>
        <w:r w:rsidR="00014465">
          <w:rPr>
            <w:noProof/>
            <w:webHidden/>
          </w:rPr>
          <w:fldChar w:fldCharType="separate"/>
        </w:r>
        <w:r w:rsidR="00581851">
          <w:rPr>
            <w:noProof/>
            <w:webHidden/>
          </w:rPr>
          <w:t>22</w:t>
        </w:r>
        <w:r w:rsidR="00014465">
          <w:rPr>
            <w:noProof/>
            <w:webHidden/>
          </w:rPr>
          <w:fldChar w:fldCharType="end"/>
        </w:r>
      </w:hyperlink>
    </w:p>
    <w:p w14:paraId="3A9C7E50" w14:textId="5B308AF4" w:rsidR="00014465" w:rsidRDefault="00000000">
      <w:pPr>
        <w:pStyle w:val="TOC1"/>
        <w:rPr>
          <w:rFonts w:eastAsiaTheme="minorEastAsia"/>
          <w:b w:val="0"/>
          <w:noProof/>
          <w:kern w:val="2"/>
          <w:sz w:val="22"/>
          <w:lang w:eastAsia="en-AU"/>
          <w14:ligatures w14:val="standardContextual"/>
        </w:rPr>
      </w:pPr>
      <w:hyperlink w:anchor="_Toc155860442" w:history="1">
        <w:r w:rsidR="00014465" w:rsidRPr="00CE2928">
          <w:rPr>
            <w:rStyle w:val="Hyperlink"/>
            <w:noProof/>
          </w:rPr>
          <w:t>What if I don’t win a contract?</w:t>
        </w:r>
        <w:r w:rsidR="00014465">
          <w:rPr>
            <w:noProof/>
            <w:webHidden/>
          </w:rPr>
          <w:tab/>
        </w:r>
        <w:r w:rsidR="00014465">
          <w:rPr>
            <w:noProof/>
            <w:webHidden/>
          </w:rPr>
          <w:fldChar w:fldCharType="begin"/>
        </w:r>
        <w:r w:rsidR="00014465">
          <w:rPr>
            <w:noProof/>
            <w:webHidden/>
          </w:rPr>
          <w:instrText xml:space="preserve"> PAGEREF _Toc155860442 \h </w:instrText>
        </w:r>
        <w:r w:rsidR="00014465">
          <w:rPr>
            <w:noProof/>
            <w:webHidden/>
          </w:rPr>
        </w:r>
        <w:r w:rsidR="00014465">
          <w:rPr>
            <w:noProof/>
            <w:webHidden/>
          </w:rPr>
          <w:fldChar w:fldCharType="separate"/>
        </w:r>
        <w:r w:rsidR="00581851">
          <w:rPr>
            <w:noProof/>
            <w:webHidden/>
          </w:rPr>
          <w:t>23</w:t>
        </w:r>
        <w:r w:rsidR="00014465">
          <w:rPr>
            <w:noProof/>
            <w:webHidden/>
          </w:rPr>
          <w:fldChar w:fldCharType="end"/>
        </w:r>
      </w:hyperlink>
    </w:p>
    <w:p w14:paraId="20A68334" w14:textId="3A6D9295" w:rsidR="00014465" w:rsidRDefault="00000000">
      <w:pPr>
        <w:pStyle w:val="TOC2"/>
        <w:rPr>
          <w:rFonts w:eastAsiaTheme="minorEastAsia"/>
          <w:noProof/>
          <w:kern w:val="2"/>
          <w:lang w:eastAsia="en-AU"/>
          <w14:ligatures w14:val="standardContextual"/>
        </w:rPr>
      </w:pPr>
      <w:hyperlink w:anchor="_Toc155860443" w:history="1">
        <w:r w:rsidR="00014465" w:rsidRPr="00CE2928">
          <w:rPr>
            <w:rStyle w:val="Hyperlink"/>
            <w:noProof/>
          </w:rPr>
          <w:t>Tender debriefing</w:t>
        </w:r>
        <w:r w:rsidR="00014465">
          <w:rPr>
            <w:noProof/>
            <w:webHidden/>
          </w:rPr>
          <w:tab/>
        </w:r>
        <w:r w:rsidR="00014465">
          <w:rPr>
            <w:noProof/>
            <w:webHidden/>
          </w:rPr>
          <w:fldChar w:fldCharType="begin"/>
        </w:r>
        <w:r w:rsidR="00014465">
          <w:rPr>
            <w:noProof/>
            <w:webHidden/>
          </w:rPr>
          <w:instrText xml:space="preserve"> PAGEREF _Toc155860443 \h </w:instrText>
        </w:r>
        <w:r w:rsidR="00014465">
          <w:rPr>
            <w:noProof/>
            <w:webHidden/>
          </w:rPr>
        </w:r>
        <w:r w:rsidR="00014465">
          <w:rPr>
            <w:noProof/>
            <w:webHidden/>
          </w:rPr>
          <w:fldChar w:fldCharType="separate"/>
        </w:r>
        <w:r w:rsidR="00581851">
          <w:rPr>
            <w:noProof/>
            <w:webHidden/>
          </w:rPr>
          <w:t>23</w:t>
        </w:r>
        <w:r w:rsidR="00014465">
          <w:rPr>
            <w:noProof/>
            <w:webHidden/>
          </w:rPr>
          <w:fldChar w:fldCharType="end"/>
        </w:r>
      </w:hyperlink>
    </w:p>
    <w:p w14:paraId="2F0427F3" w14:textId="6428235D" w:rsidR="00014465" w:rsidRDefault="00000000">
      <w:pPr>
        <w:pStyle w:val="TOC2"/>
        <w:rPr>
          <w:rFonts w:eastAsiaTheme="minorEastAsia"/>
          <w:noProof/>
          <w:kern w:val="2"/>
          <w:lang w:eastAsia="en-AU"/>
          <w14:ligatures w14:val="standardContextual"/>
        </w:rPr>
      </w:pPr>
      <w:hyperlink w:anchor="_Toc155860444" w:history="1">
        <w:r w:rsidR="00014465" w:rsidRPr="00CE2928">
          <w:rPr>
            <w:rStyle w:val="Hyperlink"/>
            <w:noProof/>
          </w:rPr>
          <w:t>Can I complain if I don’t win?</w:t>
        </w:r>
        <w:r w:rsidR="00014465">
          <w:rPr>
            <w:noProof/>
            <w:webHidden/>
          </w:rPr>
          <w:tab/>
        </w:r>
        <w:r w:rsidR="00014465">
          <w:rPr>
            <w:noProof/>
            <w:webHidden/>
          </w:rPr>
          <w:fldChar w:fldCharType="begin"/>
        </w:r>
        <w:r w:rsidR="00014465">
          <w:rPr>
            <w:noProof/>
            <w:webHidden/>
          </w:rPr>
          <w:instrText xml:space="preserve"> PAGEREF _Toc155860444 \h </w:instrText>
        </w:r>
        <w:r w:rsidR="00014465">
          <w:rPr>
            <w:noProof/>
            <w:webHidden/>
          </w:rPr>
        </w:r>
        <w:r w:rsidR="00014465">
          <w:rPr>
            <w:noProof/>
            <w:webHidden/>
          </w:rPr>
          <w:fldChar w:fldCharType="separate"/>
        </w:r>
        <w:r w:rsidR="00581851">
          <w:rPr>
            <w:noProof/>
            <w:webHidden/>
          </w:rPr>
          <w:t>24</w:t>
        </w:r>
        <w:r w:rsidR="00014465">
          <w:rPr>
            <w:noProof/>
            <w:webHidden/>
          </w:rPr>
          <w:fldChar w:fldCharType="end"/>
        </w:r>
      </w:hyperlink>
    </w:p>
    <w:p w14:paraId="4D7D68BF" w14:textId="551811DC" w:rsidR="00014465" w:rsidRDefault="00000000">
      <w:pPr>
        <w:pStyle w:val="TOC1"/>
        <w:rPr>
          <w:rFonts w:eastAsiaTheme="minorEastAsia"/>
          <w:b w:val="0"/>
          <w:noProof/>
          <w:kern w:val="2"/>
          <w:sz w:val="22"/>
          <w:lang w:eastAsia="en-AU"/>
          <w14:ligatures w14:val="standardContextual"/>
        </w:rPr>
      </w:pPr>
      <w:hyperlink w:anchor="_Toc155860445" w:history="1">
        <w:r w:rsidR="00014465" w:rsidRPr="00CE2928">
          <w:rPr>
            <w:rStyle w:val="Hyperlink"/>
            <w:noProof/>
          </w:rPr>
          <w:t>Resources and contacts</w:t>
        </w:r>
        <w:r w:rsidR="00014465">
          <w:rPr>
            <w:noProof/>
            <w:webHidden/>
          </w:rPr>
          <w:tab/>
        </w:r>
        <w:r w:rsidR="00014465">
          <w:rPr>
            <w:noProof/>
            <w:webHidden/>
          </w:rPr>
          <w:fldChar w:fldCharType="begin"/>
        </w:r>
        <w:r w:rsidR="00014465">
          <w:rPr>
            <w:noProof/>
            <w:webHidden/>
          </w:rPr>
          <w:instrText xml:space="preserve"> PAGEREF _Toc155860445 \h </w:instrText>
        </w:r>
        <w:r w:rsidR="00014465">
          <w:rPr>
            <w:noProof/>
            <w:webHidden/>
          </w:rPr>
        </w:r>
        <w:r w:rsidR="00014465">
          <w:rPr>
            <w:noProof/>
            <w:webHidden/>
          </w:rPr>
          <w:fldChar w:fldCharType="separate"/>
        </w:r>
        <w:r w:rsidR="00581851">
          <w:rPr>
            <w:noProof/>
            <w:webHidden/>
          </w:rPr>
          <w:t>25</w:t>
        </w:r>
        <w:r w:rsidR="00014465">
          <w:rPr>
            <w:noProof/>
            <w:webHidden/>
          </w:rPr>
          <w:fldChar w:fldCharType="end"/>
        </w:r>
      </w:hyperlink>
    </w:p>
    <w:p w14:paraId="5F284E90" w14:textId="0A83D94F" w:rsidR="00014465" w:rsidRDefault="00000000">
      <w:pPr>
        <w:pStyle w:val="TOC2"/>
        <w:rPr>
          <w:rFonts w:eastAsiaTheme="minorEastAsia"/>
          <w:noProof/>
          <w:kern w:val="2"/>
          <w:lang w:eastAsia="en-AU"/>
          <w14:ligatures w14:val="standardContextual"/>
        </w:rPr>
      </w:pPr>
      <w:hyperlink w:anchor="_Toc155860446" w:history="1">
        <w:r w:rsidR="00014465" w:rsidRPr="00CE2928">
          <w:rPr>
            <w:rStyle w:val="Hyperlink"/>
            <w:noProof/>
          </w:rPr>
          <w:t>Feedback</w:t>
        </w:r>
        <w:r w:rsidR="00014465">
          <w:rPr>
            <w:noProof/>
            <w:webHidden/>
          </w:rPr>
          <w:tab/>
        </w:r>
        <w:r w:rsidR="00014465">
          <w:rPr>
            <w:noProof/>
            <w:webHidden/>
          </w:rPr>
          <w:fldChar w:fldCharType="begin"/>
        </w:r>
        <w:r w:rsidR="00014465">
          <w:rPr>
            <w:noProof/>
            <w:webHidden/>
          </w:rPr>
          <w:instrText xml:space="preserve"> PAGEREF _Toc155860446 \h </w:instrText>
        </w:r>
        <w:r w:rsidR="00014465">
          <w:rPr>
            <w:noProof/>
            <w:webHidden/>
          </w:rPr>
        </w:r>
        <w:r w:rsidR="00014465">
          <w:rPr>
            <w:noProof/>
            <w:webHidden/>
          </w:rPr>
          <w:fldChar w:fldCharType="separate"/>
        </w:r>
        <w:r w:rsidR="00581851">
          <w:rPr>
            <w:noProof/>
            <w:webHidden/>
          </w:rPr>
          <w:t>25</w:t>
        </w:r>
        <w:r w:rsidR="00014465">
          <w:rPr>
            <w:noProof/>
            <w:webHidden/>
          </w:rPr>
          <w:fldChar w:fldCharType="end"/>
        </w:r>
      </w:hyperlink>
    </w:p>
    <w:p w14:paraId="285AC8B9" w14:textId="18E33FA0" w:rsidR="00014465" w:rsidRDefault="00000000">
      <w:pPr>
        <w:pStyle w:val="TOC2"/>
        <w:rPr>
          <w:rFonts w:eastAsiaTheme="minorEastAsia"/>
          <w:noProof/>
          <w:kern w:val="2"/>
          <w:lang w:eastAsia="en-AU"/>
          <w14:ligatures w14:val="standardContextual"/>
        </w:rPr>
      </w:pPr>
      <w:hyperlink w:anchor="_Toc155860447" w:history="1">
        <w:r w:rsidR="00014465" w:rsidRPr="00CE2928">
          <w:rPr>
            <w:rStyle w:val="Hyperlink"/>
            <w:noProof/>
          </w:rPr>
          <w:t>Have further questions or want to get in touch?</w:t>
        </w:r>
        <w:r w:rsidR="00014465">
          <w:rPr>
            <w:noProof/>
            <w:webHidden/>
          </w:rPr>
          <w:tab/>
        </w:r>
        <w:r w:rsidR="00014465">
          <w:rPr>
            <w:noProof/>
            <w:webHidden/>
          </w:rPr>
          <w:fldChar w:fldCharType="begin"/>
        </w:r>
        <w:r w:rsidR="00014465">
          <w:rPr>
            <w:noProof/>
            <w:webHidden/>
          </w:rPr>
          <w:instrText xml:space="preserve"> PAGEREF _Toc155860447 \h </w:instrText>
        </w:r>
        <w:r w:rsidR="00014465">
          <w:rPr>
            <w:noProof/>
            <w:webHidden/>
          </w:rPr>
        </w:r>
        <w:r w:rsidR="00014465">
          <w:rPr>
            <w:noProof/>
            <w:webHidden/>
          </w:rPr>
          <w:fldChar w:fldCharType="separate"/>
        </w:r>
        <w:r w:rsidR="00581851">
          <w:rPr>
            <w:noProof/>
            <w:webHidden/>
          </w:rPr>
          <w:t>25</w:t>
        </w:r>
        <w:r w:rsidR="00014465">
          <w:rPr>
            <w:noProof/>
            <w:webHidden/>
          </w:rPr>
          <w:fldChar w:fldCharType="end"/>
        </w:r>
      </w:hyperlink>
    </w:p>
    <w:p w14:paraId="190AAF6A" w14:textId="4FC01077" w:rsidR="006F58E3" w:rsidRPr="00DD255D" w:rsidRDefault="0082589D" w:rsidP="001E4436">
      <w:pPr>
        <w:pStyle w:val="TOC2"/>
        <w:ind w:left="0" w:firstLine="0"/>
      </w:pPr>
      <w:r>
        <w:rPr>
          <w:b/>
          <w:sz w:val="19"/>
        </w:rPr>
        <w:fldChar w:fldCharType="end"/>
      </w:r>
      <w:r w:rsidR="00BF77C3" w:rsidRPr="00EC4C52">
        <w:br w:type="page"/>
      </w:r>
      <w:bookmarkStart w:id="1" w:name="_Toc155860412"/>
      <w:r w:rsidR="006D1956" w:rsidRPr="00DD255D">
        <w:rPr>
          <w:rStyle w:val="Heading1Char"/>
        </w:rPr>
        <w:lastRenderedPageBreak/>
        <w:t>Purpose</w:t>
      </w:r>
      <w:bookmarkEnd w:id="1"/>
    </w:p>
    <w:p w14:paraId="2368BF16" w14:textId="552F5676" w:rsidR="00781EAF" w:rsidRDefault="0015368B" w:rsidP="00AD4B7D">
      <w:r w:rsidRPr="008F204E">
        <w:t xml:space="preserve">This session is intended </w:t>
      </w:r>
      <w:r w:rsidR="00B64716">
        <w:t>a</w:t>
      </w:r>
      <w:r w:rsidR="0030719E">
        <w:t xml:space="preserve">s an introductory session to help potential suppliers </w:t>
      </w:r>
      <w:r w:rsidR="00C44B77">
        <w:t>understand how to participate in</w:t>
      </w:r>
      <w:r w:rsidRPr="008F204E">
        <w:t xml:space="preserve"> Australian Government procurement </w:t>
      </w:r>
      <w:r w:rsidR="00C44B77">
        <w:t>and contracting opportunities</w:t>
      </w:r>
      <w:r w:rsidR="00E54ED8">
        <w:t>.</w:t>
      </w:r>
      <w:r w:rsidRPr="008F204E">
        <w:t xml:space="preserve"> </w:t>
      </w:r>
    </w:p>
    <w:p w14:paraId="700198ED" w14:textId="0B09195F" w:rsidR="00781EAF" w:rsidRPr="007F0723" w:rsidRDefault="00442CC0" w:rsidP="007F0723">
      <w:r>
        <w:t>It</w:t>
      </w:r>
      <w:r w:rsidR="00781EAF" w:rsidRPr="007F0723">
        <w:t xml:space="preserve"> will cover:</w:t>
      </w:r>
    </w:p>
    <w:p w14:paraId="0854AC0B" w14:textId="6BFD8F71" w:rsidR="00781EAF" w:rsidRPr="007F0723" w:rsidRDefault="00781EAF" w:rsidP="0004541F">
      <w:pPr>
        <w:pStyle w:val="Bullet1"/>
      </w:pPr>
      <w:r w:rsidRPr="007F0723">
        <w:t xml:space="preserve">Why </w:t>
      </w:r>
      <w:r w:rsidR="00E54ED8">
        <w:t xml:space="preserve">you may want to </w:t>
      </w:r>
      <w:r w:rsidRPr="007F0723">
        <w:t>sell to the Australian Government</w:t>
      </w:r>
    </w:p>
    <w:p w14:paraId="3358E3DC" w14:textId="77777777" w:rsidR="00781EAF" w:rsidRPr="007F0723" w:rsidRDefault="00781EAF" w:rsidP="0004541F">
      <w:pPr>
        <w:pStyle w:val="Bullet1"/>
      </w:pPr>
      <w:r w:rsidRPr="007F0723">
        <w:t>What the Australian Government buys and how</w:t>
      </w:r>
    </w:p>
    <w:p w14:paraId="742A3BCC" w14:textId="77777777" w:rsidR="00781EAF" w:rsidRPr="007F0723" w:rsidRDefault="00781EAF" w:rsidP="0004541F">
      <w:pPr>
        <w:pStyle w:val="Bullet1"/>
      </w:pPr>
      <w:r w:rsidRPr="007F0723">
        <w:t>Procurement methods and industry engagement</w:t>
      </w:r>
    </w:p>
    <w:p w14:paraId="1344E8E3" w14:textId="77777777" w:rsidR="00781EAF" w:rsidRPr="007F0723" w:rsidRDefault="00781EAF" w:rsidP="0004541F">
      <w:pPr>
        <w:pStyle w:val="Bullet1"/>
      </w:pPr>
      <w:r w:rsidRPr="007F0723">
        <w:t>How to start the process to sell</w:t>
      </w:r>
    </w:p>
    <w:p w14:paraId="55A715F8" w14:textId="53F033C0" w:rsidR="00781EAF" w:rsidRPr="007F0723" w:rsidRDefault="00781EAF" w:rsidP="0004541F">
      <w:pPr>
        <w:pStyle w:val="Bullet1"/>
      </w:pPr>
      <w:r w:rsidRPr="007F0723">
        <w:t xml:space="preserve">Responding to an </w:t>
      </w:r>
      <w:r w:rsidR="009537C6">
        <w:t>A</w:t>
      </w:r>
      <w:r w:rsidRPr="007F0723">
        <w:t xml:space="preserve">pproach </w:t>
      </w:r>
      <w:r w:rsidR="003D073F">
        <w:t>t</w:t>
      </w:r>
      <w:r w:rsidRPr="007F0723">
        <w:t xml:space="preserve">o </w:t>
      </w:r>
      <w:r w:rsidR="009537C6">
        <w:t>M</w:t>
      </w:r>
      <w:r w:rsidRPr="007F0723">
        <w:t>arket</w:t>
      </w:r>
    </w:p>
    <w:p w14:paraId="1500345E" w14:textId="54DEAB8B" w:rsidR="007A6D6F" w:rsidRDefault="00781EAF" w:rsidP="0004541F">
      <w:pPr>
        <w:pStyle w:val="Bullet1"/>
      </w:pPr>
      <w:r w:rsidRPr="007F0723">
        <w:t>What to expect if you win</w:t>
      </w:r>
      <w:r w:rsidR="00E54ED8">
        <w:t xml:space="preserve"> a contract</w:t>
      </w:r>
    </w:p>
    <w:p w14:paraId="0602AC34" w14:textId="212C0EB9" w:rsidR="00781EAF" w:rsidRPr="007F0723" w:rsidRDefault="007A6D6F" w:rsidP="0004541F">
      <w:pPr>
        <w:pStyle w:val="Bullet1"/>
      </w:pPr>
      <w:r>
        <w:t xml:space="preserve">What to expect if you </w:t>
      </w:r>
      <w:r w:rsidR="00781EAF" w:rsidRPr="007F0723">
        <w:t>don’t win a contract.</w:t>
      </w:r>
    </w:p>
    <w:p w14:paraId="704E57DD" w14:textId="4994516E" w:rsidR="00A542AD" w:rsidRDefault="0047466B" w:rsidP="00AD4B7D">
      <w:r>
        <w:t>This session complements resources and information available on the Selling to Government we</w:t>
      </w:r>
      <w:r w:rsidR="00A542AD">
        <w:t>bsite (</w:t>
      </w:r>
      <w:hyperlink r:id="rId9" w:history="1">
        <w:r w:rsidR="00A542AD" w:rsidRPr="00AF10BA">
          <w:rPr>
            <w:rStyle w:val="Hyperlink"/>
            <w:rFonts w:cstheme="minorBidi"/>
          </w:rPr>
          <w:t>sellingtogov.finance.gov.au</w:t>
        </w:r>
      </w:hyperlink>
      <w:r w:rsidR="00A542AD">
        <w:t>).</w:t>
      </w:r>
    </w:p>
    <w:p w14:paraId="253736C4" w14:textId="48F002DB" w:rsidR="00AF10BA" w:rsidRDefault="00A542AD" w:rsidP="00A754D1">
      <w:r>
        <w:t xml:space="preserve">If you are interested in supplying to the Australian Government, visit </w:t>
      </w:r>
      <w:hyperlink r:id="rId10" w:history="1">
        <w:r w:rsidRPr="00AF10BA">
          <w:rPr>
            <w:rStyle w:val="Hyperlink"/>
            <w:rFonts w:cstheme="minorBidi"/>
          </w:rPr>
          <w:t>sellingtogov.finance.gov.au</w:t>
        </w:r>
      </w:hyperlink>
      <w:r>
        <w:t xml:space="preserve"> to find out more.</w:t>
      </w:r>
      <w:r w:rsidR="00AF10BA">
        <w:br w:type="page"/>
      </w:r>
    </w:p>
    <w:p w14:paraId="62441091" w14:textId="5DCABB62" w:rsidR="008F1D30" w:rsidRPr="00E3484D" w:rsidRDefault="66A12CBC" w:rsidP="00E3484D">
      <w:pPr>
        <w:pStyle w:val="Heading1"/>
      </w:pPr>
      <w:bookmarkStart w:id="2" w:name="_Toc155860413"/>
      <w:r w:rsidRPr="00E3484D">
        <w:lastRenderedPageBreak/>
        <w:t>W</w:t>
      </w:r>
      <w:r w:rsidR="008F1D30" w:rsidRPr="00E3484D">
        <w:t>hy sell to the Australian Government?</w:t>
      </w:r>
      <w:bookmarkEnd w:id="2"/>
    </w:p>
    <w:p w14:paraId="683C6736" w14:textId="38EDAE0F" w:rsidR="008F1D30" w:rsidRPr="00C95E8E" w:rsidRDefault="008F1D30" w:rsidP="00763FED">
      <w:pPr>
        <w:pStyle w:val="Boxed1Text"/>
      </w:pPr>
      <w:r w:rsidRPr="00C95E8E">
        <w:t xml:space="preserve">Australian Government </w:t>
      </w:r>
      <w:r w:rsidR="00A20DAC">
        <w:t>organisations</w:t>
      </w:r>
      <w:r w:rsidR="00F2411A">
        <w:t xml:space="preserve"> are</w:t>
      </w:r>
      <w:r w:rsidRPr="00C95E8E">
        <w:t xml:space="preserve"> a large potential market that requires a wide range of goods and services delivered across the country.</w:t>
      </w:r>
    </w:p>
    <w:p w14:paraId="705068F7" w14:textId="2A7E5B36" w:rsidR="008F1D30" w:rsidRPr="00C95E8E" w:rsidRDefault="008F1D30" w:rsidP="00763FED">
      <w:pPr>
        <w:pStyle w:val="Boxed1Text"/>
        <w:rPr>
          <w:lang w:val="en-US"/>
        </w:rPr>
      </w:pPr>
      <w:r w:rsidRPr="00C95E8E">
        <w:t xml:space="preserve">The Australian Government </w:t>
      </w:r>
      <w:r w:rsidR="00BE6A2B" w:rsidRPr="00C95E8E">
        <w:t xml:space="preserve">has </w:t>
      </w:r>
      <w:r w:rsidRPr="00C95E8E">
        <w:t xml:space="preserve">a </w:t>
      </w:r>
      <w:r w:rsidRPr="00C95E8E">
        <w:rPr>
          <w:lang w:val="en-US"/>
        </w:rPr>
        <w:t xml:space="preserve">non-discriminatory framework, including requirements to apply procurement practices that do not unfairly discriminate against small and medium enterprises </w:t>
      </w:r>
      <w:r w:rsidRPr="00C95E8E">
        <w:t>(SMEs)</w:t>
      </w:r>
      <w:r w:rsidRPr="00C95E8E">
        <w:rPr>
          <w:lang w:val="en-US"/>
        </w:rPr>
        <w:t>.</w:t>
      </w:r>
    </w:p>
    <w:p w14:paraId="57D7D094" w14:textId="1D695323" w:rsidR="008F1D30" w:rsidRPr="00C95E8E" w:rsidRDefault="001B40F3" w:rsidP="00763FED">
      <w:pPr>
        <w:pStyle w:val="Boxed1Text"/>
        <w:rPr>
          <w:lang w:val="en-US"/>
        </w:rPr>
      </w:pPr>
      <w:r>
        <w:rPr>
          <w:lang w:val="en-US"/>
        </w:rPr>
        <w:t>T</w:t>
      </w:r>
      <w:r w:rsidR="008F1D30" w:rsidRPr="00C95E8E">
        <w:rPr>
          <w:lang w:val="en-US"/>
        </w:rPr>
        <w:t xml:space="preserve">he Australian Government </w:t>
      </w:r>
      <w:r w:rsidR="00464063">
        <w:rPr>
          <w:lang w:val="en-US"/>
        </w:rPr>
        <w:t xml:space="preserve">has also </w:t>
      </w:r>
      <w:r w:rsidR="00FB5C75">
        <w:rPr>
          <w:lang w:val="en-US"/>
        </w:rPr>
        <w:t>pu</w:t>
      </w:r>
      <w:r w:rsidR="00B313B9">
        <w:rPr>
          <w:lang w:val="en-US"/>
        </w:rPr>
        <w:t>t</w:t>
      </w:r>
      <w:r w:rsidR="00FB5C75">
        <w:rPr>
          <w:lang w:val="en-US"/>
        </w:rPr>
        <w:t xml:space="preserve"> in place </w:t>
      </w:r>
      <w:r w:rsidR="00B313B9" w:rsidRPr="00C95E8E">
        <w:rPr>
          <w:lang w:val="en-US"/>
        </w:rPr>
        <w:t>simplif</w:t>
      </w:r>
      <w:r w:rsidR="00B313B9">
        <w:rPr>
          <w:lang w:val="en-US"/>
        </w:rPr>
        <w:t>ied</w:t>
      </w:r>
      <w:r w:rsidR="00464063">
        <w:rPr>
          <w:lang w:val="en-US"/>
        </w:rPr>
        <w:t xml:space="preserve"> </w:t>
      </w:r>
      <w:r w:rsidR="008F1D30" w:rsidRPr="00C95E8E">
        <w:rPr>
          <w:lang w:val="en-US"/>
        </w:rPr>
        <w:t>contracting and payment processes to make it easier for businesses to work with us.</w:t>
      </w:r>
    </w:p>
    <w:p w14:paraId="3B29C14A" w14:textId="7E3427A8" w:rsidR="002B6F4C" w:rsidRPr="00E3484D" w:rsidRDefault="002B6F4C" w:rsidP="00E3484D">
      <w:pPr>
        <w:pStyle w:val="Heading2"/>
      </w:pPr>
      <w:bookmarkStart w:id="3" w:name="_Toc155860414"/>
      <w:r w:rsidRPr="00E3484D">
        <w:t>Timely payment</w:t>
      </w:r>
      <w:bookmarkEnd w:id="3"/>
    </w:p>
    <w:p w14:paraId="06E192BE" w14:textId="7B146CC4" w:rsidR="002B6F4C" w:rsidRPr="00DB4001" w:rsidRDefault="002B6F4C" w:rsidP="00DB4001">
      <w:pPr>
        <w:rPr>
          <w:lang w:val="en-US"/>
        </w:rPr>
      </w:pPr>
      <w:r w:rsidRPr="00DB4001">
        <w:rPr>
          <w:lang w:val="en-US"/>
        </w:rPr>
        <w:t xml:space="preserve">The </w:t>
      </w:r>
      <w:hyperlink r:id="rId11" w:history="1">
        <w:r w:rsidR="000F46BA" w:rsidRPr="00645155">
          <w:rPr>
            <w:rStyle w:val="Hyperlink"/>
            <w:rFonts w:cstheme="minorBidi"/>
          </w:rPr>
          <w:t>Supplier Pay On-Time or Pay Interest Policy</w:t>
        </w:r>
      </w:hyperlink>
      <w:r w:rsidRPr="00DB4001">
        <w:rPr>
          <w:lang w:val="en-US"/>
        </w:rPr>
        <w:t xml:space="preserve"> means that in most cases Australian Government </w:t>
      </w:r>
      <w:proofErr w:type="spellStart"/>
      <w:r w:rsidRPr="00DB4001">
        <w:rPr>
          <w:lang w:val="en-US"/>
        </w:rPr>
        <w:t>organisations</w:t>
      </w:r>
      <w:proofErr w:type="spellEnd"/>
      <w:r w:rsidRPr="00DB4001">
        <w:rPr>
          <w:lang w:val="en-US"/>
        </w:rPr>
        <w:t xml:space="preserve"> must pay suppliers within maximum payment terms (either within 5 calendar days for </w:t>
      </w:r>
      <w:proofErr w:type="spellStart"/>
      <w:r w:rsidRPr="00DB4001">
        <w:rPr>
          <w:lang w:val="en-US"/>
        </w:rPr>
        <w:t>eInvoices</w:t>
      </w:r>
      <w:proofErr w:type="spellEnd"/>
      <w:r w:rsidRPr="00DB4001">
        <w:rPr>
          <w:lang w:val="en-US"/>
        </w:rPr>
        <w:t>, or within a maximum of 20 calendar days in all other circumstances).</w:t>
      </w:r>
    </w:p>
    <w:p w14:paraId="5C223938" w14:textId="256A6868" w:rsidR="002B6F4C" w:rsidRPr="00D20DAC" w:rsidRDefault="002B6F4C" w:rsidP="00E3484D">
      <w:pPr>
        <w:pStyle w:val="Heading2"/>
      </w:pPr>
      <w:bookmarkStart w:id="4" w:name="_Toc155860415"/>
      <w:r w:rsidRPr="00D20DAC">
        <w:t>Sourcing commitments</w:t>
      </w:r>
      <w:bookmarkEnd w:id="4"/>
    </w:p>
    <w:p w14:paraId="577AF17C" w14:textId="1EE5E3C9" w:rsidR="002B6F4C" w:rsidRPr="00DB4001" w:rsidRDefault="002159C1" w:rsidP="00DB4001">
      <w:pPr>
        <w:rPr>
          <w:lang w:val="en-US"/>
        </w:rPr>
      </w:pPr>
      <w:r>
        <w:rPr>
          <w:lang w:val="en-US"/>
        </w:rPr>
        <w:t>The Australian Government has a commitment for n</w:t>
      </w:r>
      <w:r w:rsidR="002B6F4C" w:rsidRPr="00DB4001">
        <w:rPr>
          <w:lang w:val="en-US"/>
        </w:rPr>
        <w:t>on-corporate Commonwealth entities to source 2</w:t>
      </w:r>
      <w:r w:rsidR="00EC4CB3">
        <w:rPr>
          <w:lang w:val="en-US"/>
        </w:rPr>
        <w:t>5</w:t>
      </w:r>
      <w:r w:rsidR="002B6F4C" w:rsidRPr="00DB4001">
        <w:rPr>
          <w:lang w:val="en-US"/>
        </w:rPr>
        <w:t xml:space="preserve"> per cent of procurement by value from SMEs</w:t>
      </w:r>
      <w:r>
        <w:rPr>
          <w:lang w:val="en-US"/>
        </w:rPr>
        <w:t xml:space="preserve"> each</w:t>
      </w:r>
      <w:r w:rsidR="003C4EE7">
        <w:rPr>
          <w:lang w:val="en-US"/>
        </w:rPr>
        <w:t xml:space="preserve"> financial year</w:t>
      </w:r>
      <w:r w:rsidR="00EC4CB3">
        <w:rPr>
          <w:lang w:val="en-US"/>
        </w:rPr>
        <w:t xml:space="preserve"> from 1 July 2024</w:t>
      </w:r>
      <w:r w:rsidR="00447D9A">
        <w:rPr>
          <w:lang w:val="en-US"/>
        </w:rPr>
        <w:t>, for contracts with a value of up to $1 billion</w:t>
      </w:r>
      <w:r w:rsidR="00A76EF4">
        <w:rPr>
          <w:lang w:val="en-US"/>
        </w:rPr>
        <w:t xml:space="preserve">, and </w:t>
      </w:r>
      <w:r w:rsidR="00D6609A">
        <w:rPr>
          <w:lang w:val="en-US"/>
        </w:rPr>
        <w:t xml:space="preserve">40 per cent of </w:t>
      </w:r>
      <w:r w:rsidR="00531490">
        <w:rPr>
          <w:lang w:val="en-US"/>
        </w:rPr>
        <w:t>procurements</w:t>
      </w:r>
      <w:r w:rsidR="00DE7164">
        <w:rPr>
          <w:lang w:val="en-US"/>
        </w:rPr>
        <w:t>, for contracts with a value of up to $20 million</w:t>
      </w:r>
      <w:r w:rsidR="002B6F4C" w:rsidRPr="00DB4001">
        <w:rPr>
          <w:lang w:val="en-US"/>
        </w:rPr>
        <w:t>.</w:t>
      </w:r>
    </w:p>
    <w:p w14:paraId="569F7EB5" w14:textId="19047C53" w:rsidR="002B6F4C" w:rsidRPr="00D20DAC" w:rsidRDefault="002B6F4C" w:rsidP="00E3484D">
      <w:pPr>
        <w:pStyle w:val="Heading2"/>
      </w:pPr>
      <w:bookmarkStart w:id="5" w:name="_Toc155860416"/>
      <w:r w:rsidRPr="00D20DAC">
        <w:t>Provisions to directly source from SMEs, Indigenous businesses, and supported employment providers</w:t>
      </w:r>
      <w:bookmarkEnd w:id="5"/>
    </w:p>
    <w:p w14:paraId="3931E230" w14:textId="77777777" w:rsidR="002B6F4C" w:rsidRPr="00DB4001" w:rsidRDefault="002B6F4C" w:rsidP="00DB4001">
      <w:pPr>
        <w:rPr>
          <w:lang w:val="en-US"/>
        </w:rPr>
      </w:pPr>
      <w:r w:rsidRPr="00DB4001">
        <w:rPr>
          <w:lang w:val="en-US"/>
        </w:rPr>
        <w:t xml:space="preserve">The Indigenous Procurement Policy sets out requirements for officials to approach Indigenous businesses to tender for work prior to a general approach to market. </w:t>
      </w:r>
      <w:r>
        <w:rPr>
          <w:rStyle w:val="FootnoteReference"/>
        </w:rPr>
        <w:footnoteReference w:id="2"/>
      </w:r>
    </w:p>
    <w:p w14:paraId="49BF267A" w14:textId="3A22480F" w:rsidR="007C2B5F" w:rsidRDefault="002B6F4C" w:rsidP="00DB4001">
      <w:pPr>
        <w:spacing w:after="360"/>
      </w:pPr>
      <w:r w:rsidRPr="00DB4001">
        <w:rPr>
          <w:lang w:val="en-US"/>
        </w:rPr>
        <w:t xml:space="preserve">The Commonwealth Procurement Rules </w:t>
      </w:r>
      <w:r w:rsidR="002F5FEF">
        <w:rPr>
          <w:lang w:val="en-US"/>
        </w:rPr>
        <w:t xml:space="preserve">(CPRs) </w:t>
      </w:r>
      <w:r w:rsidRPr="00DB4001">
        <w:rPr>
          <w:lang w:val="en-US"/>
        </w:rPr>
        <w:t>include exemptions for direct engagement of supported employment providers, Indigenous businesses, and SMEs.</w:t>
      </w:r>
      <w:r>
        <w:rPr>
          <w:rStyle w:val="FootnoteReference"/>
        </w:rPr>
        <w:t xml:space="preserve"> </w:t>
      </w:r>
      <w:r>
        <w:rPr>
          <w:rStyle w:val="FootnoteReference"/>
        </w:rPr>
        <w:footnoteReference w:id="3"/>
      </w:r>
      <w:r w:rsidR="007C2B5F">
        <w:br w:type="page"/>
      </w:r>
    </w:p>
    <w:p w14:paraId="325152C7" w14:textId="0B0EB778" w:rsidR="00096FDB" w:rsidRPr="00AF10BA" w:rsidRDefault="00096FDB" w:rsidP="00CC75B3">
      <w:pPr>
        <w:pStyle w:val="Boxed3Text"/>
        <w:rPr>
          <w:b/>
          <w:bCs/>
        </w:rPr>
      </w:pPr>
      <w:r w:rsidRPr="00AF10BA">
        <w:rPr>
          <w:b/>
          <w:bCs/>
        </w:rPr>
        <w:lastRenderedPageBreak/>
        <w:t>DEFINTIONS</w:t>
      </w:r>
      <w:r w:rsidR="00242FB2" w:rsidRPr="00AF10BA">
        <w:rPr>
          <w:b/>
          <w:bCs/>
        </w:rPr>
        <w:t>:</w:t>
      </w:r>
    </w:p>
    <w:p w14:paraId="79DFBA6B" w14:textId="6B7BBCB6" w:rsidR="00BC1F60" w:rsidRDefault="002F5FEF" w:rsidP="00CC75B3">
      <w:pPr>
        <w:pStyle w:val="Boxed3Text"/>
      </w:pPr>
      <w:r>
        <w:t>In the CPRs, a</w:t>
      </w:r>
      <w:r w:rsidR="00096FDB" w:rsidRPr="008C612B">
        <w:t xml:space="preserve"> SME </w:t>
      </w:r>
      <w:r w:rsidR="00096FDB">
        <w:t>is defined as</w:t>
      </w:r>
      <w:r w:rsidR="00096FDB" w:rsidRPr="008C612B">
        <w:t xml:space="preserve"> a business in Australia or New Zealand that employs up to 200 people on a Full-Time Equivalent basis.</w:t>
      </w:r>
      <w:r w:rsidR="00BC1F60">
        <w:t xml:space="preserve"> </w:t>
      </w:r>
    </w:p>
    <w:p w14:paraId="74E178D4" w14:textId="43FA7177" w:rsidR="00096FDB" w:rsidRDefault="00BC1F60" w:rsidP="00CC75B3">
      <w:pPr>
        <w:pStyle w:val="Boxed3Text"/>
      </w:pPr>
      <w:r w:rsidRPr="007B689C">
        <w:t xml:space="preserve">When assessing the number of employees a firm has, employees of any associated entities (as defined in s 50AAA of the </w:t>
      </w:r>
      <w:r w:rsidRPr="00F34834">
        <w:rPr>
          <w:i/>
        </w:rPr>
        <w:t>Corporations Act 2001</w:t>
      </w:r>
      <w:r w:rsidRPr="007B689C">
        <w:t>) to the firm are included. Associated entities to a firm include a firm’s parent company, a firm’s subsidiaries, and any related bodies corporate to the firm.</w:t>
      </w:r>
    </w:p>
    <w:p w14:paraId="08E5435F" w14:textId="1A16ECBB" w:rsidR="00096FDB" w:rsidRDefault="002F5FEF" w:rsidP="00CC75B3">
      <w:pPr>
        <w:pStyle w:val="Boxed3Text"/>
      </w:pPr>
      <w:r>
        <w:t>In the CPRs, a</w:t>
      </w:r>
      <w:r w:rsidR="00096FDB" w:rsidRPr="008C612B">
        <w:t>n Indigenous business is</w:t>
      </w:r>
      <w:r w:rsidR="00096FDB">
        <w:t xml:space="preserve"> defined as</w:t>
      </w:r>
      <w:r w:rsidR="00096FDB" w:rsidRPr="008C612B">
        <w:t xml:space="preserve"> a business with more than 50 per cent Indigenous ownership. This is usually demonstrated through registration with a certification body such as Supply Nation. Depending on the procurement process, </w:t>
      </w:r>
      <w:r w:rsidR="00096FDB">
        <w:t xml:space="preserve">it </w:t>
      </w:r>
      <w:r w:rsidR="00096FDB" w:rsidRPr="008C612B">
        <w:t xml:space="preserve">may also be demonstrated through </w:t>
      </w:r>
      <w:r w:rsidR="00FB3DF3">
        <w:t xml:space="preserve">registration with </w:t>
      </w:r>
      <w:r w:rsidR="0067282B">
        <w:t xml:space="preserve">an alternative certification body, or </w:t>
      </w:r>
      <w:r w:rsidR="00096FDB" w:rsidRPr="008C612B">
        <w:t>a statutory declaration.</w:t>
      </w:r>
    </w:p>
    <w:p w14:paraId="497A021F" w14:textId="0E7B77A5" w:rsidR="008F1D30" w:rsidRPr="00E3484D" w:rsidRDefault="008F1D30" w:rsidP="00E3484D">
      <w:pPr>
        <w:pStyle w:val="Heading1"/>
      </w:pPr>
      <w:bookmarkStart w:id="6" w:name="_Toc155860417"/>
      <w:r w:rsidRPr="00E3484D">
        <w:t>What does the Australian Government buy?</w:t>
      </w:r>
      <w:bookmarkEnd w:id="6"/>
    </w:p>
    <w:p w14:paraId="68B03BA5" w14:textId="77777777" w:rsidR="008F1D30" w:rsidRDefault="008F1D30" w:rsidP="00DD255D">
      <w:pPr>
        <w:pStyle w:val="Boxed1Text"/>
      </w:pPr>
      <w:r w:rsidRPr="00480D01">
        <w:t>Australian Government organisations purchase a variety of goods and services for delivery across Australia, including in regional and remote areas.</w:t>
      </w:r>
    </w:p>
    <w:p w14:paraId="608603AC" w14:textId="77777777" w:rsidR="00077A5A" w:rsidRDefault="008F1D30" w:rsidP="00DD255D">
      <w:pPr>
        <w:pStyle w:val="Boxed1Text"/>
      </w:pPr>
      <w:r w:rsidRPr="00480D01">
        <w:t>There is no one Australian Government buyer</w:t>
      </w:r>
      <w:r w:rsidR="00D73C35">
        <w:t xml:space="preserve">. </w:t>
      </w:r>
    </w:p>
    <w:p w14:paraId="4BED27B8" w14:textId="1CCC3124" w:rsidR="008F1D30" w:rsidRDefault="00D73C35" w:rsidP="00DD255D">
      <w:pPr>
        <w:pStyle w:val="Boxed1Text"/>
      </w:pPr>
      <w:r>
        <w:t>E</w:t>
      </w:r>
      <w:r w:rsidR="008F1D30" w:rsidRPr="00480D01">
        <w:t xml:space="preserve">ach Australian Government organisation </w:t>
      </w:r>
      <w:r>
        <w:t>has its</w:t>
      </w:r>
      <w:r w:rsidR="008F1D30" w:rsidRPr="00480D01">
        <w:t xml:space="preserve"> own needs and makes its own purchasing decisions to meet its requirements.</w:t>
      </w:r>
    </w:p>
    <w:p w14:paraId="2A0275C3" w14:textId="7603CE50" w:rsidR="00D37D33" w:rsidRPr="00BB2D63" w:rsidRDefault="00D73C35" w:rsidP="00D20DAC">
      <w:pPr>
        <w:pStyle w:val="Boxed3Text"/>
        <w:spacing w:before="360"/>
        <w:rPr>
          <w:b/>
          <w:bCs/>
        </w:rPr>
      </w:pPr>
      <w:r w:rsidRPr="00BB2D63">
        <w:rPr>
          <w:b/>
          <w:bCs/>
        </w:rPr>
        <w:t>TIP</w:t>
      </w:r>
      <w:r w:rsidR="001E4137" w:rsidRPr="00BB2D63">
        <w:rPr>
          <w:b/>
          <w:bCs/>
        </w:rPr>
        <w:t>S</w:t>
      </w:r>
      <w:r w:rsidR="00242FB2" w:rsidRPr="00BB2D63">
        <w:rPr>
          <w:b/>
          <w:bCs/>
        </w:rPr>
        <w:t>:</w:t>
      </w:r>
    </w:p>
    <w:p w14:paraId="6E46F2A5" w14:textId="1223D32D" w:rsidR="00D73C35" w:rsidRPr="00B1245C" w:rsidRDefault="00D73C35" w:rsidP="00D26B17">
      <w:pPr>
        <w:pStyle w:val="Boxed3Text"/>
        <w:numPr>
          <w:ilvl w:val="0"/>
          <w:numId w:val="8"/>
        </w:numPr>
      </w:pPr>
      <w:r w:rsidRPr="00B26360">
        <w:t xml:space="preserve">The easiest way to find out what Australian Government organisations are </w:t>
      </w:r>
      <w:r w:rsidRPr="00B1245C">
        <w:t xml:space="preserve">interested in buying is to check available and upcoming business opportunities on </w:t>
      </w:r>
      <w:proofErr w:type="spellStart"/>
      <w:r w:rsidRPr="00B1245C">
        <w:t>AusTender</w:t>
      </w:r>
      <w:proofErr w:type="spellEnd"/>
      <w:r w:rsidR="00D021BB" w:rsidRPr="00B1245C">
        <w:t xml:space="preserve"> (</w:t>
      </w:r>
      <w:hyperlink r:id="rId12" w:history="1">
        <w:r w:rsidR="00D021BB" w:rsidRPr="00B1245C">
          <w:rPr>
            <w:rStyle w:val="Hyperlink"/>
            <w:rFonts w:cstheme="minorBidi"/>
          </w:rPr>
          <w:t>tenders.gov.au</w:t>
        </w:r>
      </w:hyperlink>
      <w:r w:rsidR="00D021BB" w:rsidRPr="00B1245C">
        <w:t>)</w:t>
      </w:r>
      <w:r w:rsidRPr="00B1245C">
        <w:t>.</w:t>
      </w:r>
    </w:p>
    <w:p w14:paraId="1F57613E" w14:textId="70D4AA0C" w:rsidR="008E3A0E" w:rsidRPr="00B1245C" w:rsidRDefault="008F1D30" w:rsidP="00D26B17">
      <w:pPr>
        <w:pStyle w:val="Boxed3Text"/>
        <w:numPr>
          <w:ilvl w:val="0"/>
          <w:numId w:val="8"/>
        </w:numPr>
        <w:spacing w:after="360"/>
        <w:ind w:left="641" w:hanging="357"/>
      </w:pPr>
      <w:r w:rsidRPr="00B1245C">
        <w:t xml:space="preserve">The </w:t>
      </w:r>
      <w:proofErr w:type="spellStart"/>
      <w:r w:rsidRPr="00B1245C">
        <w:t>AusTender</w:t>
      </w:r>
      <w:proofErr w:type="spellEnd"/>
      <w:r w:rsidRPr="00B1245C">
        <w:t xml:space="preserve"> Help and Information Centre </w:t>
      </w:r>
      <w:r w:rsidR="00D021BB" w:rsidRPr="00B1245C">
        <w:t>(</w:t>
      </w:r>
      <w:hyperlink r:id="rId13" w:history="1">
        <w:r w:rsidR="00D021BB" w:rsidRPr="00B1245C">
          <w:rPr>
            <w:rStyle w:val="Hyperlink"/>
            <w:rFonts w:cstheme="minorBidi"/>
          </w:rPr>
          <w:t>help.tenders.gov.au</w:t>
        </w:r>
      </w:hyperlink>
      <w:r w:rsidR="00D021BB" w:rsidRPr="00B1245C">
        <w:t xml:space="preserve">) </w:t>
      </w:r>
      <w:r w:rsidRPr="00B1245C">
        <w:t>also includes a variety of guidance and reports to help you better understand opportunities in your sector.</w:t>
      </w:r>
      <w:r w:rsidR="008E3A0E" w:rsidRPr="00B1245C">
        <w:rPr>
          <w:rFonts w:asciiTheme="majorHAnsi" w:eastAsiaTheme="majorEastAsia" w:hAnsiTheme="majorHAnsi" w:cstheme="majorBidi"/>
          <w:bCs/>
          <w:color w:val="265659" w:themeColor="text2"/>
          <w:sz w:val="40"/>
          <w:szCs w:val="28"/>
        </w:rPr>
        <w:br w:type="page"/>
      </w:r>
    </w:p>
    <w:p w14:paraId="36A3B320" w14:textId="76006861" w:rsidR="008F1D30" w:rsidRDefault="008F1D30" w:rsidP="00E3484D">
      <w:pPr>
        <w:pStyle w:val="Heading1"/>
      </w:pPr>
      <w:bookmarkStart w:id="7" w:name="_Toc155860418"/>
      <w:r w:rsidRPr="0097646F">
        <w:lastRenderedPageBreak/>
        <w:t>How does the Australian Government buy?</w:t>
      </w:r>
      <w:bookmarkEnd w:id="7"/>
    </w:p>
    <w:p w14:paraId="77BC3342" w14:textId="47DF60C2" w:rsidR="00626B75" w:rsidRPr="00626B75" w:rsidRDefault="00626B75" w:rsidP="00E3484D">
      <w:pPr>
        <w:pStyle w:val="Heading2"/>
      </w:pPr>
      <w:bookmarkStart w:id="8" w:name="_Toc155860419"/>
      <w:r w:rsidRPr="0053352C">
        <w:t>Commonwealth Procurement Rules</w:t>
      </w:r>
      <w:bookmarkEnd w:id="8"/>
    </w:p>
    <w:p w14:paraId="40F2F805" w14:textId="26F9F149" w:rsidR="00C32579" w:rsidRPr="00E16694" w:rsidRDefault="00C32579" w:rsidP="004461F2">
      <w:pPr>
        <w:pStyle w:val="Boxed1Text"/>
      </w:pPr>
      <w:r w:rsidRPr="00C32579">
        <w:t>The Australian Government is accountable for how its organisations spend taxpayers’</w:t>
      </w:r>
      <w:r w:rsidR="004461F2">
        <w:t xml:space="preserve"> </w:t>
      </w:r>
      <w:r w:rsidRPr="00E16694">
        <w:t>money.</w:t>
      </w:r>
      <w:r w:rsidR="004461F2" w:rsidRPr="00E16694">
        <w:t xml:space="preserve"> </w:t>
      </w:r>
      <w:r w:rsidRPr="00E16694">
        <w:t xml:space="preserve">The </w:t>
      </w:r>
      <w:hyperlink r:id="rId14" w:history="1">
        <w:r w:rsidR="002F1FB7" w:rsidRPr="00BF2475">
          <w:rPr>
            <w:rStyle w:val="Hyperlink"/>
            <w:rFonts w:cstheme="minorBidi"/>
            <w:szCs w:val="28"/>
          </w:rPr>
          <w:t>Commonwealth Procurement Rules</w:t>
        </w:r>
      </w:hyperlink>
      <w:r w:rsidR="002F1FB7">
        <w:rPr>
          <w:szCs w:val="28"/>
        </w:rPr>
        <w:t xml:space="preserve"> </w:t>
      </w:r>
      <w:r w:rsidRPr="00E16694">
        <w:t xml:space="preserve">(CPRs) set out expectations and procedures for relevant Australian Government buyers to ensure the proper use of public funds and that processes are open, fair, and ethical. </w:t>
      </w:r>
    </w:p>
    <w:p w14:paraId="71E677A3" w14:textId="77777777" w:rsidR="00933A15" w:rsidRPr="00933A15" w:rsidRDefault="00933A15" w:rsidP="00933A15">
      <w:pPr>
        <w:pStyle w:val="Boxed1Text"/>
      </w:pPr>
      <w:r w:rsidRPr="00E16694">
        <w:t xml:space="preserve">The rules focus on achieving </w:t>
      </w:r>
      <w:r w:rsidRPr="009829CB">
        <w:t>value for money</w:t>
      </w:r>
      <w:r w:rsidRPr="00E16694">
        <w:t xml:space="preserve"> when</w:t>
      </w:r>
      <w:r w:rsidRPr="00933A15">
        <w:t xml:space="preserve"> procuring goods and services. </w:t>
      </w:r>
    </w:p>
    <w:p w14:paraId="08290EDB" w14:textId="6FB870E0" w:rsidR="00626B75" w:rsidRPr="00C32579" w:rsidRDefault="00933A15" w:rsidP="004461F2">
      <w:pPr>
        <w:pStyle w:val="Boxed1Text"/>
      </w:pPr>
      <w:r w:rsidRPr="00933A15">
        <w:t xml:space="preserve">Value for money is </w:t>
      </w:r>
      <w:r w:rsidRPr="009829CB">
        <w:t>not</w:t>
      </w:r>
      <w:r w:rsidRPr="00E16694">
        <w:t xml:space="preserve"> just</w:t>
      </w:r>
      <w:r w:rsidRPr="00933A15">
        <w:t xml:space="preserve"> about price and involves financial and non-financial considerations outlined in the CPRs.</w:t>
      </w:r>
    </w:p>
    <w:p w14:paraId="7ACCE284" w14:textId="7D00C7EB" w:rsidR="009A730C" w:rsidRDefault="00C32579" w:rsidP="00782F9C">
      <w:r w:rsidRPr="00C32579">
        <w:t xml:space="preserve">The </w:t>
      </w:r>
      <w:r w:rsidR="00C95E8E">
        <w:t>CPRs</w:t>
      </w:r>
      <w:r w:rsidRPr="00C32579">
        <w:t xml:space="preserve"> </w:t>
      </w:r>
      <w:r w:rsidR="00EC147C">
        <w:t>are split into two divisions</w:t>
      </w:r>
      <w:r w:rsidR="00402A55">
        <w:t>, Division 1, and Division 2.</w:t>
      </w:r>
    </w:p>
    <w:p w14:paraId="4A1C96D8" w14:textId="00D94C35" w:rsidR="008F2688" w:rsidRDefault="008F2688" w:rsidP="00E3484D">
      <w:pPr>
        <w:pStyle w:val="Heading3"/>
      </w:pPr>
      <w:r>
        <w:t>Division 1</w:t>
      </w:r>
    </w:p>
    <w:p w14:paraId="04A5E405" w14:textId="77777777" w:rsidR="00402A55" w:rsidRDefault="008F2688" w:rsidP="00402A55">
      <w:r w:rsidRPr="001E09AA">
        <w:t>Relevant Australian Government buyers must comply with Division 1</w:t>
      </w:r>
      <w:r>
        <w:t>.</w:t>
      </w:r>
      <w:r w:rsidR="00402A55">
        <w:t xml:space="preserve"> </w:t>
      </w:r>
    </w:p>
    <w:p w14:paraId="4DE7FD46" w14:textId="5B55A10B" w:rsidR="00402A55" w:rsidRDefault="00402A55" w:rsidP="00402A55">
      <w:r w:rsidRPr="001E09AA">
        <w:t xml:space="preserve">The core focus </w:t>
      </w:r>
      <w:r w:rsidR="00873059">
        <w:t xml:space="preserve">of Division 1 </w:t>
      </w:r>
      <w:r w:rsidRPr="001E09AA">
        <w:t>is achieving value for money</w:t>
      </w:r>
      <w:r w:rsidR="002541DA">
        <w:t>.</w:t>
      </w:r>
    </w:p>
    <w:p w14:paraId="4A777D1C" w14:textId="259F045E" w:rsidR="008F2688" w:rsidRDefault="008F2688" w:rsidP="00E3484D">
      <w:pPr>
        <w:pStyle w:val="Heading3"/>
      </w:pPr>
      <w:r w:rsidRPr="00112B5B">
        <w:t>Division 2</w:t>
      </w:r>
    </w:p>
    <w:p w14:paraId="771DF52A" w14:textId="10419630" w:rsidR="008F2688" w:rsidRPr="0053352C" w:rsidRDefault="002541DA" w:rsidP="008F2688">
      <w:r>
        <w:t>Division 2 contains</w:t>
      </w:r>
      <w:r w:rsidR="008F2688" w:rsidRPr="001E09AA">
        <w:t xml:space="preserve"> additional rules that apply to procurements valued above the relevant procurement threshold:</w:t>
      </w:r>
    </w:p>
    <w:p w14:paraId="535340B2" w14:textId="753F88F4" w:rsidR="008F2688" w:rsidRPr="0053352C" w:rsidRDefault="008F2688" w:rsidP="0004541F">
      <w:pPr>
        <w:pStyle w:val="Bullet1"/>
      </w:pPr>
      <w:r w:rsidRPr="001E09AA">
        <w:t>Above $80,000 for most government organisations (non-corporate Commonwealth entities)</w:t>
      </w:r>
    </w:p>
    <w:p w14:paraId="3BE5D0FE" w14:textId="466A40AA" w:rsidR="008F2688" w:rsidRPr="0053352C" w:rsidRDefault="008F2688" w:rsidP="0004541F">
      <w:pPr>
        <w:pStyle w:val="Bullet1"/>
      </w:pPr>
      <w:r w:rsidRPr="001E09AA">
        <w:t>Above $400,000 for specific corporate Commonwealth entities as outlined in the CPRs</w:t>
      </w:r>
    </w:p>
    <w:p w14:paraId="7A8F826D" w14:textId="62328020" w:rsidR="008F2688" w:rsidRPr="0053352C" w:rsidRDefault="008F2688" w:rsidP="0004541F">
      <w:pPr>
        <w:pStyle w:val="Bullet1"/>
      </w:pPr>
      <w:r w:rsidRPr="001E09AA">
        <w:t>Above $7.5 million for construction services.</w:t>
      </w:r>
    </w:p>
    <w:p w14:paraId="5D132BCD" w14:textId="3F2B65FC" w:rsidR="008F2688" w:rsidRDefault="008F2688" w:rsidP="008F2688">
      <w:r w:rsidRPr="001E09AA">
        <w:t xml:space="preserve">Unless </w:t>
      </w:r>
      <w:r w:rsidRPr="00054E3C">
        <w:t>specific exemptions apply,</w:t>
      </w:r>
      <w:r w:rsidRPr="001E09AA">
        <w:t xml:space="preserve"> purchases above these thresholds must comply with additional rules outlined in Division 2 of the CPRs.</w:t>
      </w:r>
    </w:p>
    <w:p w14:paraId="18634419" w14:textId="00E1FCEE" w:rsidR="00D7546E" w:rsidRDefault="00873059" w:rsidP="008F2688">
      <w:r>
        <w:t>An Australian Government buyer will take the relevant thresholds for their organisation into account when approaching the market to procure goods and services.</w:t>
      </w:r>
      <w:r w:rsidR="00D7546E">
        <w:br w:type="page"/>
      </w:r>
    </w:p>
    <w:p w14:paraId="7EC8D502" w14:textId="25271220" w:rsidR="008F1D30" w:rsidRPr="00F66AE6" w:rsidRDefault="008F1D30" w:rsidP="00E3484D">
      <w:pPr>
        <w:pStyle w:val="Heading2"/>
      </w:pPr>
      <w:bookmarkStart w:id="9" w:name="_Toc155860420"/>
      <w:r w:rsidRPr="00F66AE6">
        <w:lastRenderedPageBreak/>
        <w:t>Value for money</w:t>
      </w:r>
      <w:bookmarkEnd w:id="9"/>
    </w:p>
    <w:p w14:paraId="79A09B45" w14:textId="12EB3E8D" w:rsidR="008F1D30" w:rsidRPr="00A11EFB" w:rsidRDefault="008F1D30" w:rsidP="00DD255D">
      <w:pPr>
        <w:pStyle w:val="Boxed1Text"/>
        <w:rPr>
          <w:lang w:val="en-US"/>
        </w:rPr>
      </w:pPr>
      <w:r w:rsidRPr="00A11EFB">
        <w:t>Value for money is not just about price.</w:t>
      </w:r>
    </w:p>
    <w:p w14:paraId="2171957D" w14:textId="0D445B02" w:rsidR="008F1D30" w:rsidRDefault="008F1D30" w:rsidP="00D7546E">
      <w:pPr>
        <w:rPr>
          <w:lang w:val="en-US"/>
        </w:rPr>
      </w:pPr>
      <w:r w:rsidRPr="00A11EFB">
        <w:t>Australian Government buyers will make decisions based on assessment of all the costs and benefits for each quote or tender response against the originally specified business need</w:t>
      </w:r>
      <w:r w:rsidR="00D7546E">
        <w:t xml:space="preserve"> they approached the market for</w:t>
      </w:r>
      <w:r w:rsidRPr="00A11EFB">
        <w:t>.</w:t>
      </w:r>
    </w:p>
    <w:p w14:paraId="7B02C142" w14:textId="45CFA887" w:rsidR="009855CA" w:rsidRPr="009855CA" w:rsidRDefault="009855CA" w:rsidP="00D7546E">
      <w:r w:rsidRPr="009855CA">
        <w:rPr>
          <w:lang w:val="en-US"/>
        </w:rPr>
        <w:t xml:space="preserve">Australian </w:t>
      </w:r>
      <w:r w:rsidRPr="004B3197">
        <w:rPr>
          <w:lang w:val="en-US"/>
        </w:rPr>
        <w:t>Government buyers must consider the relevant financial and non-financial aspects of each quote or tender response, including</w:t>
      </w:r>
      <w:r w:rsidRPr="009855CA">
        <w:rPr>
          <w:lang w:val="en-US"/>
        </w:rPr>
        <w:t>, but not limited to:</w:t>
      </w:r>
    </w:p>
    <w:p w14:paraId="33BCE8D4" w14:textId="0DB002F0" w:rsidR="009855CA" w:rsidRPr="009855CA" w:rsidRDefault="006C4A63" w:rsidP="0004541F">
      <w:pPr>
        <w:pStyle w:val="Bullet1"/>
      </w:pPr>
      <w:r w:rsidRPr="009855CA">
        <w:t>Quality of the goods and services</w:t>
      </w:r>
    </w:p>
    <w:p w14:paraId="713CDD90" w14:textId="62EF889C" w:rsidR="009855CA" w:rsidRPr="009855CA" w:rsidRDefault="006C4A63" w:rsidP="0004541F">
      <w:pPr>
        <w:pStyle w:val="Bullet1"/>
      </w:pPr>
      <w:r w:rsidRPr="009855CA">
        <w:t>Fitness for purpose of the proposal</w:t>
      </w:r>
    </w:p>
    <w:p w14:paraId="470CC144" w14:textId="58E8C486" w:rsidR="009855CA" w:rsidRPr="009855CA" w:rsidRDefault="006C4A63" w:rsidP="0004541F">
      <w:pPr>
        <w:pStyle w:val="Bullet1"/>
      </w:pPr>
      <w:r w:rsidRPr="009855CA">
        <w:t>Potential supplier’s relevant experience and performance history</w:t>
      </w:r>
    </w:p>
    <w:p w14:paraId="4F5F3388" w14:textId="3DBE7008" w:rsidR="009855CA" w:rsidRPr="009855CA" w:rsidRDefault="006C4A63" w:rsidP="0004541F">
      <w:pPr>
        <w:pStyle w:val="Bullet1"/>
      </w:pPr>
      <w:r w:rsidRPr="009855CA">
        <w:t>Flexibility of the proposal (including innovation and adaptability over the lifecycle of the procurement)</w:t>
      </w:r>
    </w:p>
    <w:p w14:paraId="149204AF" w14:textId="05038968" w:rsidR="005637C9" w:rsidRDefault="006C4A63" w:rsidP="0004541F">
      <w:pPr>
        <w:pStyle w:val="Bullet1"/>
      </w:pPr>
      <w:r w:rsidRPr="009855CA">
        <w:t>Environmental sustainability of the proposed goods and</w:t>
      </w:r>
      <w:r w:rsidR="009855CA" w:rsidRPr="00DD255D">
        <w:rPr>
          <w:b/>
          <w:bCs/>
        </w:rPr>
        <w:t xml:space="preserve"> </w:t>
      </w:r>
      <w:r w:rsidR="009855CA" w:rsidRPr="009855CA">
        <w:t>services (such as energy efficiency, climate change impact</w:t>
      </w:r>
      <w:r w:rsidR="00BB47B5">
        <w:t>, environmental impact, circularity of the goods and services</w:t>
      </w:r>
      <w:r w:rsidR="009855CA" w:rsidRPr="009855CA">
        <w:t xml:space="preserve"> and the use of recycled products)</w:t>
      </w:r>
    </w:p>
    <w:p w14:paraId="7A980C99" w14:textId="04D957E6" w:rsidR="004643A1" w:rsidRPr="006A1B42" w:rsidRDefault="006C4A63" w:rsidP="007A34CB">
      <w:pPr>
        <w:pStyle w:val="Bullet1"/>
        <w:rPr>
          <w:rFonts w:asciiTheme="majorHAnsi" w:eastAsiaTheme="majorEastAsia" w:hAnsiTheme="majorHAnsi" w:cstheme="majorBidi"/>
          <w:b/>
          <w:color w:val="265659" w:themeColor="text2"/>
          <w:sz w:val="40"/>
          <w:szCs w:val="28"/>
        </w:rPr>
      </w:pPr>
      <w:r w:rsidRPr="009855CA">
        <w:t>Whole-of-life costs, which could include initial purchase price, maintenance, operating, and transition out costs.</w:t>
      </w:r>
      <w:r w:rsidR="004643A1" w:rsidRPr="006A1B42">
        <w:rPr>
          <w:b/>
          <w:bCs/>
        </w:rPr>
        <w:br w:type="page"/>
      </w:r>
    </w:p>
    <w:p w14:paraId="7D97E7C4" w14:textId="2F58BEAF" w:rsidR="008F1D30" w:rsidRPr="001175F1" w:rsidRDefault="008F1D30" w:rsidP="00E3484D">
      <w:pPr>
        <w:pStyle w:val="Heading1"/>
      </w:pPr>
      <w:bookmarkStart w:id="10" w:name="_Toc155860421"/>
      <w:r w:rsidRPr="001175F1">
        <w:lastRenderedPageBreak/>
        <w:t>Procurement methods</w:t>
      </w:r>
      <w:bookmarkEnd w:id="10"/>
    </w:p>
    <w:p w14:paraId="47A34B74" w14:textId="022A57BD" w:rsidR="008F1D30" w:rsidRDefault="008F1D30" w:rsidP="00DD255D">
      <w:pPr>
        <w:pStyle w:val="Boxed1Text"/>
        <w:spacing w:after="360"/>
      </w:pPr>
      <w:r w:rsidRPr="005640AC">
        <w:t xml:space="preserve">Australian Government buyers use either an open or limited procurement method for an </w:t>
      </w:r>
      <w:r w:rsidR="008F034D">
        <w:t>A</w:t>
      </w:r>
      <w:r w:rsidRPr="005640AC">
        <w:t xml:space="preserve">pproach to </w:t>
      </w:r>
      <w:r w:rsidR="003D073F">
        <w:t>M</w:t>
      </w:r>
      <w:r w:rsidRPr="005640AC">
        <w:t xml:space="preserve">arket (ATM) </w:t>
      </w:r>
      <w:r w:rsidR="004B441D">
        <w:t xml:space="preserve">to tender </w:t>
      </w:r>
      <w:r w:rsidRPr="005640AC">
        <w:t>for work.</w:t>
      </w:r>
    </w:p>
    <w:p w14:paraId="3B7C3B43" w14:textId="31FC1D36" w:rsidR="001D1656" w:rsidRDefault="001D1656" w:rsidP="00E3484D">
      <w:pPr>
        <w:pStyle w:val="Heading2"/>
      </w:pPr>
      <w:bookmarkStart w:id="11" w:name="_Toc155860422"/>
      <w:r>
        <w:t>Open tender</w:t>
      </w:r>
      <w:bookmarkEnd w:id="11"/>
    </w:p>
    <w:p w14:paraId="079A9D0D" w14:textId="13A0CF9B" w:rsidR="001D1656" w:rsidRDefault="003847D0" w:rsidP="0004541F">
      <w:pPr>
        <w:pStyle w:val="Bullet1"/>
      </w:pPr>
      <w:r>
        <w:t>P</w:t>
      </w:r>
      <w:r w:rsidR="001D1656">
        <w:t xml:space="preserve">ublicly advertised </w:t>
      </w:r>
      <w:r>
        <w:t>on</w:t>
      </w:r>
      <w:r w:rsidR="001D1656">
        <w:t xml:space="preserve"> </w:t>
      </w:r>
      <w:proofErr w:type="spellStart"/>
      <w:r w:rsidR="001D1656">
        <w:t>AusTender</w:t>
      </w:r>
      <w:proofErr w:type="spellEnd"/>
      <w:r w:rsidR="001D1656">
        <w:t xml:space="preserve"> and any supplier can respond</w:t>
      </w:r>
      <w:r w:rsidR="00882DEA">
        <w:t xml:space="preserve"> to the ATM</w:t>
      </w:r>
      <w:r w:rsidR="001D1656">
        <w:t>.</w:t>
      </w:r>
    </w:p>
    <w:p w14:paraId="2E39B357" w14:textId="631FE782" w:rsidR="001D1656" w:rsidRDefault="001D1656" w:rsidP="0004541F">
      <w:pPr>
        <w:pStyle w:val="Bullet1"/>
      </w:pPr>
      <w:r>
        <w:t>Default approach for purchases above the relevant thresholds outlined in the CPRs.</w:t>
      </w:r>
      <w:r w:rsidR="003847D0">
        <w:t xml:space="preserve"> </w:t>
      </w:r>
      <w:r>
        <w:t>For example, purchases above $80,000 for all non-corporate Commonwealth entities (or $400,000 for specific corporate Commonwealth entities).</w:t>
      </w:r>
    </w:p>
    <w:p w14:paraId="3B24FB5D" w14:textId="0F9F07F8" w:rsidR="001D1656" w:rsidRDefault="001D1656" w:rsidP="00E3484D">
      <w:pPr>
        <w:pStyle w:val="Heading2"/>
      </w:pPr>
      <w:bookmarkStart w:id="12" w:name="_Toc155860423"/>
      <w:r>
        <w:t>Limited tender</w:t>
      </w:r>
      <w:bookmarkEnd w:id="12"/>
    </w:p>
    <w:p w14:paraId="49AACC55" w14:textId="00DF993E" w:rsidR="001D1656" w:rsidRDefault="009829CB" w:rsidP="0004541F">
      <w:pPr>
        <w:pStyle w:val="Bullet1"/>
      </w:pPr>
      <w:r>
        <w:t>Involves</w:t>
      </w:r>
      <w:r w:rsidR="00F519DB">
        <w:t xml:space="preserve"> o</w:t>
      </w:r>
      <w:r w:rsidR="001555BB">
        <w:t xml:space="preserve">ne or more potential suppliers </w:t>
      </w:r>
      <w:r w:rsidR="00F519DB">
        <w:t xml:space="preserve">being </w:t>
      </w:r>
      <w:r w:rsidR="001555BB">
        <w:t>invited to re</w:t>
      </w:r>
      <w:r w:rsidR="00BC39B2">
        <w:t>s</w:t>
      </w:r>
      <w:r w:rsidR="001555BB">
        <w:t>po</w:t>
      </w:r>
      <w:r w:rsidR="00BC39B2">
        <w:t>nd</w:t>
      </w:r>
      <w:r w:rsidR="001555BB">
        <w:t xml:space="preserve"> to the ATM</w:t>
      </w:r>
      <w:r w:rsidR="009C0D26">
        <w:t>. The ATM</w:t>
      </w:r>
      <w:r w:rsidR="00D35635">
        <w:t xml:space="preserve"> is</w:t>
      </w:r>
      <w:r w:rsidR="001555BB">
        <w:t xml:space="preserve"> o</w:t>
      </w:r>
      <w:r w:rsidR="001D1656">
        <w:t>nly accessible to suppliers who are invited to submit a response.</w:t>
      </w:r>
    </w:p>
    <w:p w14:paraId="2E89E84D" w14:textId="1D06A2E3" w:rsidR="001D1656" w:rsidRDefault="003847D0" w:rsidP="0004541F">
      <w:pPr>
        <w:pStyle w:val="Bullet1"/>
      </w:pPr>
      <w:r>
        <w:t>P</w:t>
      </w:r>
      <w:r w:rsidR="001D1656">
        <w:t>ermitted for purchases below $80,000 (or $400,000 for specific corporate Commonwealth entities).</w:t>
      </w:r>
    </w:p>
    <w:p w14:paraId="69574E3F" w14:textId="22A39D42" w:rsidR="001D1656" w:rsidRDefault="003847D0" w:rsidP="0004541F">
      <w:pPr>
        <w:pStyle w:val="Bullet1"/>
      </w:pPr>
      <w:r>
        <w:t>P</w:t>
      </w:r>
      <w:r w:rsidR="001D1656">
        <w:t>ermitted for purchases under specific conditions or exemptions outlined in the CPRs (for example, purchases from Indigenous businesses or small and medium enterprises).</w:t>
      </w:r>
    </w:p>
    <w:p w14:paraId="73FB5ABC" w14:textId="77777777" w:rsidR="008F1D30" w:rsidRPr="00F66AE6" w:rsidRDefault="008F1D30" w:rsidP="00E3484D">
      <w:pPr>
        <w:pStyle w:val="Heading2"/>
      </w:pPr>
      <w:bookmarkStart w:id="13" w:name="_Toc155860424"/>
      <w:r w:rsidRPr="00F66AE6">
        <w:t>Standing offers and panels</w:t>
      </w:r>
      <w:bookmarkEnd w:id="13"/>
    </w:p>
    <w:p w14:paraId="7A8E82E4" w14:textId="649C49B4" w:rsidR="00BD49A9" w:rsidRPr="00BD49A9" w:rsidRDefault="00BD49A9" w:rsidP="00DD255D">
      <w:pPr>
        <w:pStyle w:val="Boxed1Text"/>
      </w:pPr>
      <w:r w:rsidRPr="00BD49A9">
        <w:t>Australian Government buyers may also approach suppliers through a 'standing offer’ established through a previous procurement process.</w:t>
      </w:r>
    </w:p>
    <w:p w14:paraId="4840578B" w14:textId="31A01041" w:rsidR="00BD49A9" w:rsidRPr="00BD49A9" w:rsidRDefault="00BD49A9" w:rsidP="00112DBE">
      <w:pPr>
        <w:pStyle w:val="Bullet1"/>
        <w:numPr>
          <w:ilvl w:val="0"/>
          <w:numId w:val="0"/>
        </w:numPr>
      </w:pPr>
      <w:r w:rsidRPr="00BD49A9">
        <w:t>Under a ‘standing offer’, a supplier enters into an agreement, known as a 'deed of standing offer’, with an Australian Government organisation to provide goods or services for a set period under agreed terms and conditions.</w:t>
      </w:r>
    </w:p>
    <w:p w14:paraId="676B4CEE" w14:textId="77777777" w:rsidR="00BD49A9" w:rsidRPr="00BD49A9" w:rsidRDefault="00BD49A9" w:rsidP="00112DBE">
      <w:pPr>
        <w:pStyle w:val="Bullet1"/>
        <w:numPr>
          <w:ilvl w:val="0"/>
          <w:numId w:val="0"/>
        </w:numPr>
      </w:pPr>
      <w:r w:rsidRPr="00BD49A9">
        <w:t>Where there are multiple suppliers under a standing offer, it is commonly called a ‘panel’.</w:t>
      </w:r>
    </w:p>
    <w:p w14:paraId="1A7333B6" w14:textId="77777777" w:rsidR="00BD49A9" w:rsidRPr="00BD49A9" w:rsidRDefault="00BD49A9" w:rsidP="00112DBE">
      <w:pPr>
        <w:pStyle w:val="Bullet1"/>
        <w:numPr>
          <w:ilvl w:val="0"/>
          <w:numId w:val="0"/>
        </w:numPr>
      </w:pPr>
      <w:r w:rsidRPr="00BD49A9">
        <w:t>Australian Government organisations may approach suppliers appointed to a panel to request quotations, in line with the standing offer.</w:t>
      </w:r>
    </w:p>
    <w:p w14:paraId="50937A26" w14:textId="77777777" w:rsidR="00BD49A9" w:rsidRPr="00BD49A9" w:rsidRDefault="00BD49A9" w:rsidP="00112DBE">
      <w:pPr>
        <w:pStyle w:val="Bullet1"/>
        <w:numPr>
          <w:ilvl w:val="0"/>
          <w:numId w:val="0"/>
        </w:numPr>
      </w:pPr>
      <w:r w:rsidRPr="00BD49A9">
        <w:t>The Australian Government buyer should, where possible, approach multiple businesses on the panel to respond to a quote request and select the supplier whose response represents the best value for money.</w:t>
      </w:r>
    </w:p>
    <w:p w14:paraId="44C1E403" w14:textId="77777777" w:rsidR="00BD49A9" w:rsidRPr="00BD49A9" w:rsidRDefault="00BD49A9" w:rsidP="00112DBE">
      <w:pPr>
        <w:pStyle w:val="Bullet1"/>
        <w:numPr>
          <w:ilvl w:val="0"/>
          <w:numId w:val="0"/>
        </w:numPr>
      </w:pPr>
      <w:r w:rsidRPr="00BD49A9">
        <w:t xml:space="preserve">Being on a panel is </w:t>
      </w:r>
      <w:r w:rsidRPr="00F1679F">
        <w:t>not a guarantee</w:t>
      </w:r>
      <w:r w:rsidRPr="00BD49A9">
        <w:t xml:space="preserve"> that you will be approached for a quote request.</w:t>
      </w:r>
    </w:p>
    <w:p w14:paraId="272A8D22" w14:textId="42BD5686" w:rsidR="00BD49A9" w:rsidRPr="00BD49A9" w:rsidRDefault="00BD49A9" w:rsidP="00112DBE">
      <w:pPr>
        <w:pStyle w:val="Bullet1"/>
        <w:numPr>
          <w:ilvl w:val="0"/>
          <w:numId w:val="0"/>
        </w:numPr>
      </w:pPr>
      <w:r w:rsidRPr="00BD49A9">
        <w:t xml:space="preserve">New panels are usually established and periodically refreshed by an </w:t>
      </w:r>
      <w:r w:rsidRPr="00F1679F">
        <w:t>open tender ATM,</w:t>
      </w:r>
      <w:r w:rsidRPr="00BD49A9">
        <w:t xml:space="preserve"> which are advertised on </w:t>
      </w:r>
      <w:proofErr w:type="spellStart"/>
      <w:r w:rsidRPr="00BD49A9">
        <w:t>AusTender</w:t>
      </w:r>
      <w:proofErr w:type="spellEnd"/>
      <w:r w:rsidRPr="00BD49A9">
        <w:t>.</w:t>
      </w:r>
      <w:r w:rsidR="00027D0F">
        <w:t xml:space="preserve"> </w:t>
      </w:r>
      <w:r w:rsidRPr="00BD49A9">
        <w:t xml:space="preserve">If your response to the ATM is considered to represent value for money, your business may be invited to </w:t>
      </w:r>
      <w:proofErr w:type="gramStart"/>
      <w:r w:rsidRPr="00BD49A9">
        <w:t>enter into</w:t>
      </w:r>
      <w:proofErr w:type="gramEnd"/>
      <w:r w:rsidRPr="00BD49A9">
        <w:t xml:space="preserve"> a deed of standing offer</w:t>
      </w:r>
      <w:r w:rsidR="00027D0F">
        <w:t xml:space="preserve"> </w:t>
      </w:r>
      <w:r w:rsidRPr="00BD49A9">
        <w:t>and be appointed to the panel.</w:t>
      </w:r>
    </w:p>
    <w:p w14:paraId="027C3486" w14:textId="041FCF74" w:rsidR="008F1D30" w:rsidRDefault="00BD49A9" w:rsidP="00112DBE">
      <w:pPr>
        <w:pStyle w:val="Bullet1"/>
        <w:numPr>
          <w:ilvl w:val="0"/>
          <w:numId w:val="0"/>
        </w:numPr>
      </w:pPr>
      <w:r w:rsidRPr="00BD49A9">
        <w:t>A panel is usually established for at least three years</w:t>
      </w:r>
      <w:r w:rsidR="005D6781">
        <w:t xml:space="preserve"> </w:t>
      </w:r>
      <w:r w:rsidRPr="00BD49A9">
        <w:t>and may contain options to extend the arrangement.</w:t>
      </w:r>
      <w:r w:rsidR="003F5B33">
        <w:br w:type="page"/>
      </w:r>
    </w:p>
    <w:p w14:paraId="3665E440" w14:textId="3C785A53" w:rsidR="00036D13" w:rsidRPr="00C46E5B" w:rsidRDefault="00036D13" w:rsidP="00E3484D">
      <w:pPr>
        <w:pStyle w:val="Heading2"/>
      </w:pPr>
      <w:bookmarkStart w:id="14" w:name="_Toc155860425"/>
      <w:r w:rsidRPr="00C46E5B">
        <w:lastRenderedPageBreak/>
        <w:t>Whole of Australian Government arrangements</w:t>
      </w:r>
      <w:bookmarkEnd w:id="14"/>
    </w:p>
    <w:p w14:paraId="69DD9A9C" w14:textId="1EAF368E" w:rsidR="00036D13" w:rsidRPr="00036D13" w:rsidRDefault="00036D13" w:rsidP="00DD255D">
      <w:pPr>
        <w:pStyle w:val="Boxed1Text"/>
      </w:pPr>
      <w:r w:rsidRPr="00036D13">
        <w:t xml:space="preserve">There are certain </w:t>
      </w:r>
      <w:hyperlink r:id="rId15" w:history="1">
        <w:r w:rsidRPr="003847D0">
          <w:rPr>
            <w:rStyle w:val="Hyperlink"/>
            <w:rFonts w:cstheme="minorBidi"/>
          </w:rPr>
          <w:t>Whole of Australian Government</w:t>
        </w:r>
      </w:hyperlink>
      <w:r w:rsidRPr="00036D13">
        <w:t xml:space="preserve"> (</w:t>
      </w:r>
      <w:proofErr w:type="spellStart"/>
      <w:r w:rsidRPr="00036D13">
        <w:t>WoAG</w:t>
      </w:r>
      <w:proofErr w:type="spellEnd"/>
      <w:r w:rsidRPr="00036D13">
        <w:t>) arrangements that most Australian Government buyers must use for categories of commonly purchased goods and services.</w:t>
      </w:r>
    </w:p>
    <w:p w14:paraId="75813E0B" w14:textId="77777777" w:rsidR="00036D13" w:rsidRPr="00247C4D" w:rsidRDefault="00036D13" w:rsidP="00DD255D">
      <w:r w:rsidRPr="00247C4D">
        <w:t xml:space="preserve">Examples include </w:t>
      </w:r>
      <w:proofErr w:type="spellStart"/>
      <w:r w:rsidRPr="00247C4D">
        <w:t>WoAG</w:t>
      </w:r>
      <w:proofErr w:type="spellEnd"/>
      <w:r w:rsidRPr="00247C4D">
        <w:t xml:space="preserve"> arrangements for:</w:t>
      </w:r>
    </w:p>
    <w:p w14:paraId="7A3610FF" w14:textId="0A61EDE3" w:rsidR="00036D13" w:rsidRPr="00036D13" w:rsidRDefault="006C4A63" w:rsidP="0004541F">
      <w:pPr>
        <w:pStyle w:val="Bullet1"/>
      </w:pPr>
      <w:r w:rsidRPr="00036D13">
        <w:t>Advertising</w:t>
      </w:r>
    </w:p>
    <w:p w14:paraId="07370126" w14:textId="7F72EDB3" w:rsidR="00036D13" w:rsidRPr="00036D13" w:rsidRDefault="006C4A63" w:rsidP="0004541F">
      <w:pPr>
        <w:pStyle w:val="Bullet1"/>
      </w:pPr>
      <w:r w:rsidRPr="00036D13">
        <w:t>I</w:t>
      </w:r>
      <w:r>
        <w:t>CT</w:t>
      </w:r>
    </w:p>
    <w:p w14:paraId="6433C1AE" w14:textId="67F72A26" w:rsidR="00036D13" w:rsidRPr="00036D13" w:rsidRDefault="006C4A63" w:rsidP="0004541F">
      <w:pPr>
        <w:pStyle w:val="Bullet1"/>
      </w:pPr>
      <w:r w:rsidRPr="00036D13">
        <w:t>Legal services</w:t>
      </w:r>
    </w:p>
    <w:p w14:paraId="309A16DD" w14:textId="25C65FE3" w:rsidR="00036D13" w:rsidRPr="00036D13" w:rsidRDefault="006C4A63" w:rsidP="0004541F">
      <w:pPr>
        <w:pStyle w:val="Bullet1"/>
      </w:pPr>
      <w:r w:rsidRPr="00036D13">
        <w:t xml:space="preserve">Property services </w:t>
      </w:r>
    </w:p>
    <w:p w14:paraId="226BF048" w14:textId="6AFA2168" w:rsidR="00036D13" w:rsidRPr="00036D13" w:rsidRDefault="006C4A63" w:rsidP="0004541F">
      <w:pPr>
        <w:pStyle w:val="Bullet1"/>
      </w:pPr>
      <w:r w:rsidRPr="00036D13">
        <w:t>Travel and accommodation services</w:t>
      </w:r>
    </w:p>
    <w:p w14:paraId="21EDC563" w14:textId="77EFBC42" w:rsidR="00036D13" w:rsidRPr="00036D13" w:rsidRDefault="006C4A63" w:rsidP="0004541F">
      <w:pPr>
        <w:pStyle w:val="Bullet1"/>
      </w:pPr>
      <w:r w:rsidRPr="00036D13">
        <w:t>Stationery and office supplies</w:t>
      </w:r>
    </w:p>
    <w:p w14:paraId="39BA2887" w14:textId="46993725" w:rsidR="00036D13" w:rsidRPr="00036D13" w:rsidRDefault="006C4A63" w:rsidP="0004541F">
      <w:pPr>
        <w:pStyle w:val="Bullet1"/>
      </w:pPr>
      <w:r w:rsidRPr="00036D13">
        <w:t xml:space="preserve">Management advisory services </w:t>
      </w:r>
    </w:p>
    <w:p w14:paraId="35B19A69" w14:textId="3E303869" w:rsidR="00036D13" w:rsidRPr="00036D13" w:rsidRDefault="006C4A63" w:rsidP="0004541F">
      <w:pPr>
        <w:pStyle w:val="Bullet1"/>
      </w:pPr>
      <w:r w:rsidRPr="00036D13">
        <w:t>Labour hire.</w:t>
      </w:r>
    </w:p>
    <w:p w14:paraId="797D800A" w14:textId="77777777" w:rsidR="00036D13" w:rsidRPr="00036D13" w:rsidRDefault="00036D13" w:rsidP="00036D13">
      <w:r w:rsidRPr="00036D13">
        <w:t>These arrangements may be contracts, or standing offer and panel arrangements, and are usually established via open tender.</w:t>
      </w:r>
    </w:p>
    <w:p w14:paraId="49A746D7" w14:textId="0D89ADBE" w:rsidR="00802BE5" w:rsidRDefault="00036D13" w:rsidP="007A34CB">
      <w:pPr>
        <w:rPr>
          <w:rFonts w:asciiTheme="majorHAnsi" w:eastAsiaTheme="majorEastAsia" w:hAnsiTheme="majorHAnsi" w:cstheme="majorBidi"/>
          <w:bCs/>
          <w:color w:val="265659" w:themeColor="text2"/>
          <w:sz w:val="30"/>
          <w:szCs w:val="26"/>
        </w:rPr>
      </w:pPr>
      <w:r w:rsidRPr="00036D13">
        <w:t>Where established, these arrangements are mandatory for non-corporate Commonwealth entities to use. Only businesses that are covered by the arrangement may be approached for work.</w:t>
      </w:r>
      <w:r w:rsidR="00802BE5">
        <w:br w:type="page"/>
      </w:r>
    </w:p>
    <w:p w14:paraId="0EAEF6C9" w14:textId="2DF7AE0F" w:rsidR="00770FA9" w:rsidRDefault="00770FA9" w:rsidP="00E3484D">
      <w:pPr>
        <w:pStyle w:val="Heading2"/>
      </w:pPr>
      <w:bookmarkStart w:id="15" w:name="_Toc155860426"/>
      <w:r>
        <w:lastRenderedPageBreak/>
        <w:t xml:space="preserve">Limited </w:t>
      </w:r>
      <w:r w:rsidRPr="007C37B3">
        <w:t xml:space="preserve">tender </w:t>
      </w:r>
      <w:r>
        <w:t xml:space="preserve">ATM </w:t>
      </w:r>
      <w:r w:rsidR="00775F2D">
        <w:t xml:space="preserve">– </w:t>
      </w:r>
      <w:r>
        <w:t xml:space="preserve">step-by-step </w:t>
      </w:r>
      <w:r w:rsidRPr="007C37B3">
        <w:t>process</w:t>
      </w:r>
      <w:bookmarkEnd w:id="15"/>
    </w:p>
    <w:p w14:paraId="4347C23F" w14:textId="54057F8D" w:rsidR="008915F8" w:rsidRPr="00C978B0" w:rsidRDefault="008915F8" w:rsidP="00E3484D">
      <w:pPr>
        <w:pStyle w:val="Heading3"/>
        <w:numPr>
          <w:ilvl w:val="6"/>
          <w:numId w:val="1"/>
        </w:numPr>
      </w:pPr>
      <w:r w:rsidRPr="00C978B0">
        <w:t>Buyer researches and identifies potential businesses.</w:t>
      </w:r>
    </w:p>
    <w:p w14:paraId="32F3D224" w14:textId="04DFDAC5" w:rsidR="008915F8" w:rsidRDefault="008915F8" w:rsidP="0051041E">
      <w:pPr>
        <w:pStyle w:val="Bullet1"/>
        <w:spacing w:after="0"/>
      </w:pPr>
      <w:r>
        <w:t>Suppliers may be found via market research, or exploring existing channels, resources, registers and networks.</w:t>
      </w:r>
    </w:p>
    <w:p w14:paraId="4ED16E18" w14:textId="7AA85B35" w:rsidR="008915F8" w:rsidRPr="00C978B0" w:rsidRDefault="008915F8" w:rsidP="0051041E">
      <w:pPr>
        <w:pStyle w:val="Heading3"/>
        <w:numPr>
          <w:ilvl w:val="6"/>
          <w:numId w:val="51"/>
        </w:numPr>
        <w:spacing w:before="240"/>
      </w:pPr>
      <w:r w:rsidRPr="00C978B0">
        <w:t>Buyer approaches one or more businesses directly to request a quote or a formal tender response.</w:t>
      </w:r>
    </w:p>
    <w:p w14:paraId="11ACD85B" w14:textId="77777777" w:rsidR="00664FF9" w:rsidRDefault="008915F8" w:rsidP="0004541F">
      <w:pPr>
        <w:pStyle w:val="Bullet1"/>
      </w:pPr>
      <w:r>
        <w:t xml:space="preserve">Not all purchases require a formal approach to market and tender response process. This is dependent on the complexity and risk of the purchase. </w:t>
      </w:r>
    </w:p>
    <w:p w14:paraId="724B7787" w14:textId="53F24E26" w:rsidR="008915F8" w:rsidRDefault="008915F8" w:rsidP="0004541F">
      <w:pPr>
        <w:pStyle w:val="Bullet1"/>
      </w:pPr>
      <w:r>
        <w:t>Generally, for purchases under $10,000, buyers will seek a quote</w:t>
      </w:r>
      <w:r w:rsidR="00F81E5F">
        <w:t>.</w:t>
      </w:r>
    </w:p>
    <w:p w14:paraId="54355799" w14:textId="55E03694" w:rsidR="008915F8" w:rsidRDefault="008915F8" w:rsidP="0004541F">
      <w:pPr>
        <w:pStyle w:val="Bullet1"/>
      </w:pPr>
      <w:r>
        <w:t>Buyers must ensure the approach is consistent and fair to all potential suppliers.</w:t>
      </w:r>
    </w:p>
    <w:p w14:paraId="1D6E759B" w14:textId="106BF609" w:rsidR="008915F8" w:rsidRPr="00C978B0" w:rsidRDefault="008915F8" w:rsidP="0051041E">
      <w:pPr>
        <w:pStyle w:val="Heading3"/>
        <w:numPr>
          <w:ilvl w:val="6"/>
          <w:numId w:val="54"/>
        </w:numPr>
        <w:spacing w:before="240" w:after="0"/>
        <w:contextualSpacing w:val="0"/>
      </w:pPr>
      <w:r w:rsidRPr="00C978B0">
        <w:t>Buyer assesses quotes or responses.</w:t>
      </w:r>
    </w:p>
    <w:p w14:paraId="31A279CD" w14:textId="57D82CB3" w:rsidR="008915F8" w:rsidRDefault="008915F8" w:rsidP="0004541F">
      <w:pPr>
        <w:pStyle w:val="Bullet1"/>
      </w:pPr>
      <w:r>
        <w:t>Buyers may contact businesses to clarify details in their response or to negotiate prior to entering a contract.</w:t>
      </w:r>
    </w:p>
    <w:p w14:paraId="412773AE" w14:textId="46C3442E" w:rsidR="008915F8" w:rsidRDefault="008915F8" w:rsidP="0004541F">
      <w:pPr>
        <w:pStyle w:val="Bullet1"/>
      </w:pPr>
      <w:r>
        <w:t xml:space="preserve">Value for money must be achieved to justify purchasing decisions. </w:t>
      </w:r>
    </w:p>
    <w:p w14:paraId="218DBB9F" w14:textId="519F3892" w:rsidR="008915F8" w:rsidRDefault="008915F8" w:rsidP="0004541F">
      <w:pPr>
        <w:pStyle w:val="Bullet1"/>
      </w:pPr>
      <w:r>
        <w:t>If provided, businesses must respond using any required templates or formats.</w:t>
      </w:r>
    </w:p>
    <w:p w14:paraId="55637B55" w14:textId="08A094F7" w:rsidR="008915F8" w:rsidRDefault="008915F8" w:rsidP="0004541F">
      <w:pPr>
        <w:pStyle w:val="Bullet1"/>
      </w:pPr>
      <w:r>
        <w:t>Tender responses must be assessed against any evaluation criteria provided.</w:t>
      </w:r>
    </w:p>
    <w:p w14:paraId="704D33BE" w14:textId="0A347DC1" w:rsidR="00DD255D" w:rsidRPr="00C978B0" w:rsidRDefault="008915F8" w:rsidP="0051041E">
      <w:pPr>
        <w:pStyle w:val="Heading3"/>
        <w:numPr>
          <w:ilvl w:val="6"/>
          <w:numId w:val="53"/>
        </w:numPr>
        <w:spacing w:before="240"/>
        <w:contextualSpacing w:val="0"/>
      </w:pPr>
      <w:r w:rsidRPr="00C978B0">
        <w:t>Contract is negotiated between buyer and preferred supplier.</w:t>
      </w:r>
    </w:p>
    <w:p w14:paraId="68F3074A" w14:textId="0DBBCA81" w:rsidR="008915F8" w:rsidRPr="00C978B0" w:rsidRDefault="008915F8" w:rsidP="00E3484D">
      <w:pPr>
        <w:pStyle w:val="Heading3"/>
        <w:numPr>
          <w:ilvl w:val="6"/>
          <w:numId w:val="53"/>
        </w:numPr>
      </w:pPr>
      <w:r w:rsidRPr="00C978B0">
        <w:t>Buyer must notify unsuccessful tenderers. All respondents are entitled to request a debriefing to seek feedback on their response.</w:t>
      </w:r>
    </w:p>
    <w:p w14:paraId="7005D8DA" w14:textId="5B6CB124" w:rsidR="00F56097" w:rsidRPr="00BB2D63" w:rsidRDefault="00F56097" w:rsidP="000A3E8D">
      <w:pPr>
        <w:pStyle w:val="Boxed3Text"/>
        <w:ind w:left="360"/>
        <w:rPr>
          <w:b/>
          <w:bCs/>
        </w:rPr>
      </w:pPr>
      <w:r w:rsidRPr="00BB2D63">
        <w:rPr>
          <w:b/>
          <w:bCs/>
        </w:rPr>
        <w:t>TIPS</w:t>
      </w:r>
      <w:r w:rsidR="000642A4" w:rsidRPr="00BB2D63">
        <w:rPr>
          <w:b/>
          <w:bCs/>
        </w:rPr>
        <w:t>:</w:t>
      </w:r>
    </w:p>
    <w:p w14:paraId="66BB246D" w14:textId="7328670A" w:rsidR="00A95EBA" w:rsidRPr="00A95EBA" w:rsidRDefault="00A95EBA" w:rsidP="00D26B17">
      <w:pPr>
        <w:pStyle w:val="Boxed3Text"/>
        <w:numPr>
          <w:ilvl w:val="0"/>
          <w:numId w:val="6"/>
        </w:numPr>
        <w:ind w:left="720"/>
      </w:pPr>
      <w:r w:rsidRPr="00A95EBA">
        <w:rPr>
          <w:lang w:val="en-GB"/>
        </w:rPr>
        <w:t>Consider registering with relevant industry networks, directories, and databases, and maintaining a web presence. You may be approached to quote for work directly through these channels.</w:t>
      </w:r>
    </w:p>
    <w:p w14:paraId="34714563" w14:textId="77777777" w:rsidR="00A95EBA" w:rsidRPr="00A95EBA" w:rsidRDefault="00A95EBA" w:rsidP="00D26B17">
      <w:pPr>
        <w:pStyle w:val="Boxed3Text"/>
        <w:numPr>
          <w:ilvl w:val="0"/>
          <w:numId w:val="6"/>
        </w:numPr>
        <w:ind w:left="720"/>
      </w:pPr>
      <w:r w:rsidRPr="00A95EBA">
        <w:rPr>
          <w:lang w:val="en-GB"/>
        </w:rPr>
        <w:t>Depending on the complexity of the work, you may be required to provide a simple quote or a formal tender response.</w:t>
      </w:r>
    </w:p>
    <w:p w14:paraId="787FADFE" w14:textId="1EB416CD" w:rsidR="00A95EBA" w:rsidRPr="00A95EBA" w:rsidRDefault="00A95EBA" w:rsidP="00D26B17">
      <w:pPr>
        <w:pStyle w:val="Boxed3Text"/>
        <w:numPr>
          <w:ilvl w:val="0"/>
          <w:numId w:val="6"/>
        </w:numPr>
        <w:ind w:left="720"/>
      </w:pPr>
      <w:r w:rsidRPr="00A95EBA">
        <w:rPr>
          <w:lang w:val="en-GB"/>
        </w:rPr>
        <w:t xml:space="preserve">If any evaluation criteria </w:t>
      </w:r>
      <w:r w:rsidR="002B17A3" w:rsidRPr="00A95EBA">
        <w:rPr>
          <w:lang w:val="en-GB"/>
        </w:rPr>
        <w:t>are</w:t>
      </w:r>
      <w:r w:rsidRPr="00A95EBA">
        <w:rPr>
          <w:lang w:val="en-GB"/>
        </w:rPr>
        <w:t xml:space="preserve"> provided, you must demonstrate that you meet the specified criteria to competitively tender for work. </w:t>
      </w:r>
    </w:p>
    <w:p w14:paraId="5542F0F8" w14:textId="77777777" w:rsidR="00A95EBA" w:rsidRPr="00A95EBA" w:rsidRDefault="00A95EBA" w:rsidP="00D26B17">
      <w:pPr>
        <w:pStyle w:val="Boxed3Text"/>
        <w:numPr>
          <w:ilvl w:val="0"/>
          <w:numId w:val="6"/>
        </w:numPr>
        <w:ind w:left="720"/>
      </w:pPr>
      <w:r w:rsidRPr="00A95EBA">
        <w:rPr>
          <w:lang w:val="en-GB"/>
        </w:rPr>
        <w:t xml:space="preserve">Examples of ATM documentation </w:t>
      </w:r>
      <w:proofErr w:type="gramStart"/>
      <w:r w:rsidRPr="00A95EBA">
        <w:rPr>
          <w:lang w:val="en-GB"/>
        </w:rPr>
        <w:t>are</w:t>
      </w:r>
      <w:proofErr w:type="gramEnd"/>
      <w:r w:rsidRPr="00A95EBA">
        <w:rPr>
          <w:lang w:val="en-GB"/>
        </w:rPr>
        <w:t xml:space="preserve"> available in the Commonwealth Contracting Suite section of the Department of Finance website.</w:t>
      </w:r>
    </w:p>
    <w:p w14:paraId="04233223" w14:textId="77777777" w:rsidR="00A95EBA" w:rsidRPr="00A95EBA" w:rsidRDefault="00A95EBA" w:rsidP="00D26B17">
      <w:pPr>
        <w:pStyle w:val="Boxed3Text"/>
        <w:numPr>
          <w:ilvl w:val="0"/>
          <w:numId w:val="6"/>
        </w:numPr>
        <w:ind w:left="720"/>
      </w:pPr>
      <w:r w:rsidRPr="00A95EBA">
        <w:rPr>
          <w:lang w:val="en-GB"/>
        </w:rPr>
        <w:t>Being contacted for a quote does not guarantee that you will win the work.</w:t>
      </w:r>
    </w:p>
    <w:p w14:paraId="033CDD3A" w14:textId="2C8CD582" w:rsidR="003F5B33" w:rsidRDefault="00A95EBA" w:rsidP="00A528C4">
      <w:pPr>
        <w:pStyle w:val="Boxed3Text"/>
        <w:numPr>
          <w:ilvl w:val="0"/>
          <w:numId w:val="6"/>
        </w:numPr>
        <w:ind w:left="720"/>
      </w:pPr>
      <w:r w:rsidRPr="00A95EBA">
        <w:t>When you have been notified of contract outcomes you may request a debriefing to receive feedback on your submission. Buyers must provide you with a debriefing if you request one.</w:t>
      </w:r>
      <w:r w:rsidR="003F5B33">
        <w:br w:type="page"/>
      </w:r>
    </w:p>
    <w:p w14:paraId="30B8E02C" w14:textId="4EC46BD5" w:rsidR="00FC4D55" w:rsidRDefault="00C32879" w:rsidP="00E3484D">
      <w:pPr>
        <w:pStyle w:val="Heading2"/>
      </w:pPr>
      <w:bookmarkStart w:id="16" w:name="_Toc155860427"/>
      <w:r>
        <w:lastRenderedPageBreak/>
        <w:t xml:space="preserve">Open </w:t>
      </w:r>
      <w:r w:rsidR="00FC4D55" w:rsidRPr="007C37B3">
        <w:t xml:space="preserve">tender </w:t>
      </w:r>
      <w:r>
        <w:t>ATM</w:t>
      </w:r>
      <w:r w:rsidR="001E5408">
        <w:t xml:space="preserve"> –</w:t>
      </w:r>
      <w:r>
        <w:t xml:space="preserve"> </w:t>
      </w:r>
      <w:r w:rsidR="001D26E9">
        <w:t xml:space="preserve">step-by-step </w:t>
      </w:r>
      <w:r w:rsidR="00FC4D55" w:rsidRPr="007C37B3">
        <w:t>process</w:t>
      </w:r>
      <w:bookmarkEnd w:id="16"/>
    </w:p>
    <w:p w14:paraId="265DEC47" w14:textId="2504C0ED" w:rsidR="00DC0CC4" w:rsidRPr="00C978B0" w:rsidRDefault="00CB4340" w:rsidP="00E3484D">
      <w:pPr>
        <w:pStyle w:val="Heading3"/>
      </w:pPr>
      <w:r w:rsidRPr="00C978B0">
        <w:t xml:space="preserve">1. </w:t>
      </w:r>
      <w:r w:rsidR="00DC0CC4" w:rsidRPr="00C978B0">
        <w:t xml:space="preserve">Buyer must publicly advertise the ATM on </w:t>
      </w:r>
      <w:proofErr w:type="spellStart"/>
      <w:r w:rsidR="00DC0CC4" w:rsidRPr="00C978B0">
        <w:t>AusTender</w:t>
      </w:r>
      <w:proofErr w:type="spellEnd"/>
      <w:r w:rsidR="00DC0CC4" w:rsidRPr="00C978B0">
        <w:t>.</w:t>
      </w:r>
    </w:p>
    <w:p w14:paraId="7C3E1F7B" w14:textId="5D94A93B" w:rsidR="00DC0CC4" w:rsidRPr="00DD255D" w:rsidRDefault="00DC0CC4" w:rsidP="0004541F">
      <w:pPr>
        <w:pStyle w:val="Bullet1"/>
      </w:pPr>
      <w:r w:rsidRPr="00DD255D">
        <w:t>Any interested suppliers may respond to the ATM.</w:t>
      </w:r>
    </w:p>
    <w:p w14:paraId="764A9AA8" w14:textId="73BB14D9" w:rsidR="00DC0CC4" w:rsidRPr="00DD255D" w:rsidRDefault="00DC0CC4" w:rsidP="0004541F">
      <w:pPr>
        <w:pStyle w:val="Bullet1"/>
      </w:pPr>
      <w:r w:rsidRPr="00DD255D">
        <w:t xml:space="preserve">The tender listing may also be shared via other methods, such as </w:t>
      </w:r>
      <w:r w:rsidR="007C2B5F">
        <w:t>organisation</w:t>
      </w:r>
      <w:r w:rsidR="007C2B5F" w:rsidRPr="00DD255D">
        <w:t xml:space="preserve"> </w:t>
      </w:r>
      <w:r w:rsidRPr="00DD255D">
        <w:t>websites, journals, or newspapers.</w:t>
      </w:r>
    </w:p>
    <w:p w14:paraId="20283992" w14:textId="399DE713" w:rsidR="00DC0CC4" w:rsidRPr="00DD255D" w:rsidRDefault="00DC0CC4" w:rsidP="0004541F">
      <w:pPr>
        <w:pStyle w:val="Bullet1"/>
      </w:pPr>
      <w:r w:rsidRPr="00DD255D">
        <w:t xml:space="preserve">Lodgement timelines and processes are clearly outlined in ATM documentation – responses are generally lodged via </w:t>
      </w:r>
      <w:proofErr w:type="spellStart"/>
      <w:r w:rsidRPr="00DD255D">
        <w:t>AusTender</w:t>
      </w:r>
      <w:proofErr w:type="spellEnd"/>
      <w:r w:rsidRPr="00DD255D">
        <w:t xml:space="preserve"> unless </w:t>
      </w:r>
      <w:r w:rsidR="00B9166F">
        <w:t>otherwise specified.</w:t>
      </w:r>
    </w:p>
    <w:p w14:paraId="65637A24" w14:textId="70F91F07" w:rsidR="00DC0CC4" w:rsidRPr="00DD255D" w:rsidRDefault="00DC0CC4" w:rsidP="0004541F">
      <w:pPr>
        <w:pStyle w:val="Bullet1"/>
      </w:pPr>
      <w:r w:rsidRPr="00DD255D">
        <w:t>Buyers must ensure the approach is consistent and fair to all potential suppliers.</w:t>
      </w:r>
    </w:p>
    <w:p w14:paraId="7FE560C6" w14:textId="681376DF" w:rsidR="00DC0CC4" w:rsidRPr="00C978B0" w:rsidRDefault="00DC0CC4" w:rsidP="00E3484D">
      <w:pPr>
        <w:pStyle w:val="Heading3"/>
        <w:numPr>
          <w:ilvl w:val="6"/>
          <w:numId w:val="56"/>
        </w:numPr>
      </w:pPr>
      <w:r w:rsidRPr="00C978B0">
        <w:t>Businesses must respond as outlined in ATM documentation by the specified deadline</w:t>
      </w:r>
      <w:r w:rsidR="00D502C9" w:rsidRPr="00C978B0">
        <w:t>.</w:t>
      </w:r>
    </w:p>
    <w:p w14:paraId="35F28CC4" w14:textId="0CCB29FA" w:rsidR="00DC0CC4" w:rsidRPr="002B329D" w:rsidRDefault="00DC0CC4" w:rsidP="0004541F">
      <w:pPr>
        <w:pStyle w:val="Bullet1"/>
      </w:pPr>
      <w:r w:rsidRPr="002B329D">
        <w:t>Be sure to ask questions and clarify any requirements before responding to the ATM.</w:t>
      </w:r>
    </w:p>
    <w:p w14:paraId="350EFC3E" w14:textId="4331D1FF" w:rsidR="00DC0CC4" w:rsidRPr="002B329D" w:rsidRDefault="00DC0CC4" w:rsidP="0004541F">
      <w:pPr>
        <w:pStyle w:val="Bullet1"/>
      </w:pPr>
      <w:r w:rsidRPr="002B329D">
        <w:t>To be considered, responses must meet any minimum requirements set out in the ATM.</w:t>
      </w:r>
    </w:p>
    <w:p w14:paraId="536C4026" w14:textId="2AC6981C" w:rsidR="00DC0CC4" w:rsidRPr="002B329D" w:rsidRDefault="00ED0E99" w:rsidP="0004541F">
      <w:pPr>
        <w:pStyle w:val="Bullet1"/>
      </w:pPr>
      <w:r>
        <w:t>R</w:t>
      </w:r>
      <w:r w:rsidR="00DC0CC4" w:rsidRPr="002B329D">
        <w:t>esponses must demonstrate value for money against evaluation criteria in the ATM.</w:t>
      </w:r>
    </w:p>
    <w:p w14:paraId="7190D86D" w14:textId="6C6F6198" w:rsidR="00965ED3" w:rsidRPr="00C978B0" w:rsidRDefault="00965ED3" w:rsidP="00E3484D">
      <w:pPr>
        <w:pStyle w:val="Heading3"/>
        <w:numPr>
          <w:ilvl w:val="6"/>
          <w:numId w:val="52"/>
        </w:numPr>
      </w:pPr>
      <w:r w:rsidRPr="00C978B0">
        <w:t>Buyer assesses responses.</w:t>
      </w:r>
    </w:p>
    <w:p w14:paraId="5CCBC33C" w14:textId="48663A81" w:rsidR="00965ED3" w:rsidRPr="002B329D" w:rsidRDefault="00965ED3" w:rsidP="0004541F">
      <w:pPr>
        <w:pStyle w:val="Bullet1"/>
      </w:pPr>
      <w:r w:rsidRPr="002B329D">
        <w:t>Buyers may contact businesses to clarify details in their response or to negotiate prior to entering a contract.</w:t>
      </w:r>
    </w:p>
    <w:p w14:paraId="100DB588" w14:textId="52B996F6" w:rsidR="00965ED3" w:rsidRPr="002B329D" w:rsidRDefault="00965ED3" w:rsidP="0004541F">
      <w:pPr>
        <w:pStyle w:val="Bullet1"/>
      </w:pPr>
      <w:r w:rsidRPr="002B329D">
        <w:t xml:space="preserve">Value for money must be achieved to justify purchasing decisions. </w:t>
      </w:r>
    </w:p>
    <w:p w14:paraId="34EB66EF" w14:textId="3E054C76" w:rsidR="00DC0CC4" w:rsidRPr="002B329D" w:rsidRDefault="00965ED3" w:rsidP="0004541F">
      <w:pPr>
        <w:pStyle w:val="Bullet1"/>
      </w:pPr>
      <w:r w:rsidRPr="002B329D">
        <w:t>Tender responses must be assessed against any evaluation criteria provided.</w:t>
      </w:r>
    </w:p>
    <w:p w14:paraId="31572F78" w14:textId="11D30C19" w:rsidR="00C32879" w:rsidRPr="00C978B0" w:rsidRDefault="00965ED3" w:rsidP="00E3484D">
      <w:pPr>
        <w:pStyle w:val="Heading3"/>
        <w:numPr>
          <w:ilvl w:val="6"/>
          <w:numId w:val="57"/>
        </w:numPr>
        <w:contextualSpacing w:val="0"/>
      </w:pPr>
      <w:r w:rsidRPr="00C978B0">
        <w:t>Contract is negotiated between buyer and preferred supplier.</w:t>
      </w:r>
    </w:p>
    <w:p w14:paraId="1A269DCD" w14:textId="1D8138AB" w:rsidR="00965ED3" w:rsidRPr="00C978B0" w:rsidRDefault="00965ED3" w:rsidP="00E3484D">
      <w:pPr>
        <w:pStyle w:val="Heading3"/>
        <w:numPr>
          <w:ilvl w:val="6"/>
          <w:numId w:val="52"/>
        </w:numPr>
      </w:pPr>
      <w:r w:rsidRPr="00C978B0">
        <w:t>Buyer must notify unsuccessful tenderers. All respondents are entitled to request a debriefing to seek feedback on their response.</w:t>
      </w:r>
    </w:p>
    <w:p w14:paraId="21266D04" w14:textId="77A3A137" w:rsidR="00F56097" w:rsidRPr="00BB2D63" w:rsidRDefault="00F56097" w:rsidP="000A3E8D">
      <w:pPr>
        <w:pStyle w:val="Boxed3Text"/>
        <w:rPr>
          <w:b/>
          <w:bCs/>
        </w:rPr>
      </w:pPr>
      <w:r w:rsidRPr="00BB2D63">
        <w:rPr>
          <w:b/>
          <w:bCs/>
        </w:rPr>
        <w:t>TIPS</w:t>
      </w:r>
      <w:r w:rsidR="000642A4" w:rsidRPr="00BB2D63">
        <w:rPr>
          <w:b/>
          <w:bCs/>
        </w:rPr>
        <w:t>:</w:t>
      </w:r>
    </w:p>
    <w:p w14:paraId="325FF972" w14:textId="6F45966A" w:rsidR="00B9166F" w:rsidRDefault="00C359A0" w:rsidP="00B45CBA">
      <w:pPr>
        <w:pStyle w:val="Boxed3Text"/>
        <w:numPr>
          <w:ilvl w:val="0"/>
          <w:numId w:val="7"/>
        </w:numPr>
        <w:spacing w:line="240" w:lineRule="atLeast"/>
        <w:ind w:left="641" w:hanging="357"/>
      </w:pPr>
      <w:r w:rsidRPr="00DF3E7C">
        <w:t xml:space="preserve">You will need to be registered with </w:t>
      </w:r>
      <w:proofErr w:type="spellStart"/>
      <w:r w:rsidRPr="00DF3E7C">
        <w:t>AusTender</w:t>
      </w:r>
      <w:proofErr w:type="spellEnd"/>
      <w:r w:rsidRPr="00DF3E7C">
        <w:t xml:space="preserve"> to access detailed ATM documentation and to lodge a response via </w:t>
      </w:r>
      <w:proofErr w:type="spellStart"/>
      <w:r w:rsidRPr="00DF3E7C">
        <w:t>AusTender</w:t>
      </w:r>
      <w:proofErr w:type="spellEnd"/>
      <w:r w:rsidRPr="00DF3E7C">
        <w:t xml:space="preserve"> if requested. </w:t>
      </w:r>
      <w:r w:rsidR="00B9166F" w:rsidRPr="00B9166F">
        <w:rPr>
          <w:lang w:val="en-GB"/>
        </w:rPr>
        <w:t>Registering is free and you can receive notifications of new open tender ATMs as they are listed.</w:t>
      </w:r>
    </w:p>
    <w:p w14:paraId="445DA82B" w14:textId="72DA0E35" w:rsidR="00C359A0" w:rsidRPr="00DF3E7C" w:rsidRDefault="00C359A0" w:rsidP="00B45CBA">
      <w:pPr>
        <w:pStyle w:val="Boxed3Text"/>
        <w:numPr>
          <w:ilvl w:val="0"/>
          <w:numId w:val="7"/>
        </w:numPr>
        <w:spacing w:line="240" w:lineRule="atLeast"/>
        <w:ind w:left="641" w:hanging="357"/>
      </w:pPr>
      <w:r w:rsidRPr="00DF3E7C">
        <w:t>Businesses need to submit a response that complies with the ATM documentation.</w:t>
      </w:r>
    </w:p>
    <w:p w14:paraId="58096272" w14:textId="4FD0790B" w:rsidR="00C359A0" w:rsidRPr="00DF3E7C" w:rsidRDefault="00C359A0" w:rsidP="00B45CBA">
      <w:pPr>
        <w:pStyle w:val="Boxed3Text"/>
        <w:numPr>
          <w:ilvl w:val="0"/>
          <w:numId w:val="7"/>
        </w:numPr>
        <w:spacing w:line="240" w:lineRule="atLeast"/>
        <w:ind w:left="641" w:hanging="357"/>
      </w:pPr>
      <w:r w:rsidRPr="00DF3E7C">
        <w:t xml:space="preserve">Only those who submit a tender response </w:t>
      </w:r>
      <w:r w:rsidR="0027564E">
        <w:t xml:space="preserve">by the required deadline </w:t>
      </w:r>
      <w:r w:rsidRPr="00DF3E7C">
        <w:t>and meet any minimum requirements can be considered for the work.</w:t>
      </w:r>
    </w:p>
    <w:p w14:paraId="7B128DAC" w14:textId="64ABD280" w:rsidR="00C359A0" w:rsidRPr="00DF3E7C" w:rsidRDefault="00C359A0" w:rsidP="00B45CBA">
      <w:pPr>
        <w:pStyle w:val="Boxed3Text"/>
        <w:numPr>
          <w:ilvl w:val="0"/>
          <w:numId w:val="7"/>
        </w:numPr>
        <w:spacing w:line="240" w:lineRule="atLeast"/>
        <w:ind w:left="641" w:hanging="357"/>
      </w:pPr>
      <w:r w:rsidRPr="00DF3E7C">
        <w:t>You must demonstrate value for money against any specified evaluation criteria to competitively tender for work.</w:t>
      </w:r>
    </w:p>
    <w:p w14:paraId="049A9D55" w14:textId="3E09AA90" w:rsidR="003F5B33" w:rsidRDefault="00C359A0" w:rsidP="00B45CBA">
      <w:pPr>
        <w:pStyle w:val="Boxed3Text"/>
        <w:numPr>
          <w:ilvl w:val="0"/>
          <w:numId w:val="7"/>
        </w:numPr>
        <w:spacing w:line="240" w:lineRule="atLeast"/>
        <w:ind w:left="641" w:hanging="357"/>
      </w:pPr>
      <w:r w:rsidRPr="00DF3E7C">
        <w:t>When notified of contract outcomes you may request a debriefing to receive feedback on your submission. Buyers must provide you with a debriefing if you request one.</w:t>
      </w:r>
      <w:r w:rsidR="003F5B33">
        <w:br w:type="page"/>
      </w:r>
    </w:p>
    <w:p w14:paraId="3B2306B6" w14:textId="53B25892" w:rsidR="008F1D30" w:rsidRPr="00B27B49" w:rsidRDefault="00240936" w:rsidP="00E3484D">
      <w:pPr>
        <w:pStyle w:val="Heading2"/>
      </w:pPr>
      <w:bookmarkStart w:id="17" w:name="_Toc155860428"/>
      <w:r w:rsidRPr="00B27B49">
        <w:lastRenderedPageBreak/>
        <w:t>Other ways the Australian Government can engage with businesses</w:t>
      </w:r>
      <w:r w:rsidR="002F173B">
        <w:t xml:space="preserve"> during the procurement process</w:t>
      </w:r>
      <w:bookmarkEnd w:id="17"/>
    </w:p>
    <w:p w14:paraId="132C60F5" w14:textId="72086425" w:rsidR="00240936" w:rsidRPr="00B361F4" w:rsidRDefault="00240936" w:rsidP="00E3484D">
      <w:pPr>
        <w:pStyle w:val="Heading3"/>
      </w:pPr>
      <w:r w:rsidRPr="00B361F4">
        <w:t>Market research</w:t>
      </w:r>
    </w:p>
    <w:p w14:paraId="4D6411B8" w14:textId="38D309D1" w:rsidR="00240936" w:rsidRPr="00240936" w:rsidRDefault="00240936" w:rsidP="00782F9C">
      <w:r w:rsidRPr="00240936">
        <w:rPr>
          <w:lang w:val="en-GB"/>
        </w:rPr>
        <w:t>Prior to purchasing, Australian Government buyers may contact businesses to conduct market research, scope buyer needs, and assess industry capability.</w:t>
      </w:r>
    </w:p>
    <w:p w14:paraId="79F8DB86" w14:textId="0D9301C8" w:rsidR="00240936" w:rsidRPr="00315CEA" w:rsidRDefault="00493933" w:rsidP="00E3484D">
      <w:pPr>
        <w:pStyle w:val="Heading3"/>
      </w:pPr>
      <w:r w:rsidRPr="00315CEA">
        <w:t>Briefings and answering questions</w:t>
      </w:r>
    </w:p>
    <w:p w14:paraId="503AF262" w14:textId="77777777" w:rsidR="00493933" w:rsidRPr="00493933" w:rsidRDefault="00493933" w:rsidP="00782F9C">
      <w:r w:rsidRPr="00493933">
        <w:rPr>
          <w:lang w:val="en-GB"/>
        </w:rPr>
        <w:t xml:space="preserve">During the procurement process, Australian Government buyers may hold briefing session/s to provide </w:t>
      </w:r>
      <w:r w:rsidRPr="00493933">
        <w:t xml:space="preserve">potential suppliers with an opportunity to engage, ask any questions, and increase their understandings of tender requirements and processes. </w:t>
      </w:r>
    </w:p>
    <w:p w14:paraId="00717731" w14:textId="32E5C4A8" w:rsidR="00493933" w:rsidRPr="00493933" w:rsidRDefault="00493933" w:rsidP="0073377A">
      <w:r w:rsidRPr="00493933">
        <w:t xml:space="preserve">Briefings for open tenders may be advertised on </w:t>
      </w:r>
      <w:proofErr w:type="spellStart"/>
      <w:r w:rsidRPr="00493933">
        <w:t>AusTender</w:t>
      </w:r>
      <w:proofErr w:type="spellEnd"/>
      <w:r w:rsidRPr="00493933">
        <w:t xml:space="preserve"> alongside the ATM documentation.</w:t>
      </w:r>
    </w:p>
    <w:p w14:paraId="1BF64142" w14:textId="77777777" w:rsidR="00493933" w:rsidRPr="00493933" w:rsidRDefault="00493933" w:rsidP="0073377A">
      <w:r w:rsidRPr="00493933">
        <w:t>You may also ask the contact officer outlined in the ATM documentation any questions to clarify tender requirements and processes.</w:t>
      </w:r>
    </w:p>
    <w:p w14:paraId="51324C21" w14:textId="77777777" w:rsidR="00493933" w:rsidRPr="00493933" w:rsidRDefault="00493933" w:rsidP="0073377A">
      <w:r w:rsidRPr="00493933">
        <w:t>Responses to questions raised at industry briefings or asked by potential suppliers through direct queries are de-identified and provided to all potential suppliers.</w:t>
      </w:r>
    </w:p>
    <w:p w14:paraId="3D7CD7F3" w14:textId="71803609" w:rsidR="00493933" w:rsidRDefault="00816E17" w:rsidP="00E3484D">
      <w:pPr>
        <w:pStyle w:val="Heading3"/>
      </w:pPr>
      <w:r>
        <w:t xml:space="preserve">Information requests published on </w:t>
      </w:r>
      <w:proofErr w:type="spellStart"/>
      <w:r>
        <w:t>AusTender</w:t>
      </w:r>
      <w:proofErr w:type="spellEnd"/>
    </w:p>
    <w:p w14:paraId="531519A7" w14:textId="77777777" w:rsidR="00816E17" w:rsidRPr="00816E17" w:rsidRDefault="00816E17" w:rsidP="00F81E5F">
      <w:r w:rsidRPr="00816E17">
        <w:rPr>
          <w:lang w:val="en-GB"/>
        </w:rPr>
        <w:t xml:space="preserve">Australian Government buyers may also advertise via </w:t>
      </w:r>
      <w:proofErr w:type="spellStart"/>
      <w:r w:rsidRPr="00816E17">
        <w:rPr>
          <w:lang w:val="en-GB"/>
        </w:rPr>
        <w:t>AusTender</w:t>
      </w:r>
      <w:proofErr w:type="spellEnd"/>
      <w:r w:rsidRPr="00816E17">
        <w:rPr>
          <w:lang w:val="en-GB"/>
        </w:rPr>
        <w:t>:</w:t>
      </w:r>
    </w:p>
    <w:p w14:paraId="6B85F581" w14:textId="77777777" w:rsidR="00816E17" w:rsidRPr="00816E17" w:rsidRDefault="00816E17" w:rsidP="00DA1EE6">
      <w:pPr>
        <w:pStyle w:val="Bullet1"/>
      </w:pPr>
      <w:r w:rsidRPr="00816E17">
        <w:t>Requests for Information - used to gather information about suppliers’ capabilities and products that may form a solution or contribute to future procurement requirements.</w:t>
      </w:r>
    </w:p>
    <w:p w14:paraId="0D284DE7" w14:textId="77777777" w:rsidR="00816E17" w:rsidRPr="00816E17" w:rsidRDefault="00816E17" w:rsidP="00DA1EE6">
      <w:pPr>
        <w:pStyle w:val="Bullet1"/>
      </w:pPr>
      <w:r w:rsidRPr="00816E17">
        <w:t>Expressions of Interest - used to identify suppliers capable of meeting procurement requirements and potentially provide a shortlist for a later approach to market.</w:t>
      </w:r>
    </w:p>
    <w:p w14:paraId="165163DA" w14:textId="47387B0F" w:rsidR="00B361F4" w:rsidRDefault="00816E17" w:rsidP="007A34CB">
      <w:pPr>
        <w:pStyle w:val="NormalIndented"/>
        <w:ind w:left="0"/>
        <w:rPr>
          <w:rFonts w:asciiTheme="majorHAnsi" w:eastAsiaTheme="majorEastAsia" w:hAnsiTheme="majorHAnsi" w:cstheme="majorBidi"/>
          <w:color w:val="265659" w:themeColor="text2"/>
          <w:sz w:val="40"/>
          <w:szCs w:val="28"/>
        </w:rPr>
      </w:pPr>
      <w:r w:rsidRPr="00816E17">
        <w:rPr>
          <w:lang w:val="en-GB"/>
        </w:rPr>
        <w:t>These processes are not a commitment by the Australian Government to purchase the goods or services outlined in the request nor does it guarantee you work. These requests are often used to assist buyers to scope future procurements.</w:t>
      </w:r>
      <w:r w:rsidR="00B361F4">
        <w:br w:type="page"/>
      </w:r>
    </w:p>
    <w:p w14:paraId="1FA3AAC1" w14:textId="1A996F6A" w:rsidR="00816E17" w:rsidRPr="00683201" w:rsidRDefault="00703427" w:rsidP="00E3484D">
      <w:pPr>
        <w:pStyle w:val="Heading1"/>
      </w:pPr>
      <w:bookmarkStart w:id="18" w:name="_Toc155860429"/>
      <w:r w:rsidRPr="00683201">
        <w:lastRenderedPageBreak/>
        <w:t>Where can I start?</w:t>
      </w:r>
      <w:bookmarkEnd w:id="18"/>
    </w:p>
    <w:p w14:paraId="2952D387" w14:textId="77777777" w:rsidR="00703427" w:rsidRPr="00CA09B9" w:rsidRDefault="00703427" w:rsidP="00CA09B9">
      <w:pPr>
        <w:pStyle w:val="Style6"/>
      </w:pPr>
      <w:r w:rsidRPr="00CA09B9">
        <w:t>Selling to the Australian Government is an important commercial decision – you should critically assess and be fully informed before deciding if it is the right business decision for you.</w:t>
      </w:r>
    </w:p>
    <w:p w14:paraId="071A522F" w14:textId="162DB672" w:rsidR="005173BF" w:rsidRPr="009D2CDD" w:rsidRDefault="005173BF" w:rsidP="00E3484D">
      <w:pPr>
        <w:pStyle w:val="Heading2"/>
      </w:pPr>
      <w:bookmarkStart w:id="19" w:name="_Toc155860430"/>
      <w:r w:rsidRPr="00BB2D63">
        <w:rPr>
          <w:b/>
        </w:rPr>
        <w:t>TIPS</w:t>
      </w:r>
      <w:r w:rsidRPr="009D2CDD">
        <w:t xml:space="preserve"> </w:t>
      </w:r>
      <w:r w:rsidR="009B6573">
        <w:t>for all businesses</w:t>
      </w:r>
      <w:bookmarkEnd w:id="19"/>
    </w:p>
    <w:p w14:paraId="0DEA7ECA" w14:textId="2576D0A0" w:rsidR="00703427" w:rsidRPr="00703427" w:rsidRDefault="00703427" w:rsidP="00D26B17">
      <w:pPr>
        <w:pStyle w:val="Boxed3Text"/>
        <w:numPr>
          <w:ilvl w:val="0"/>
          <w:numId w:val="9"/>
        </w:numPr>
      </w:pPr>
      <w:r w:rsidRPr="00703427">
        <w:t>Understand the process.</w:t>
      </w:r>
    </w:p>
    <w:p w14:paraId="780EB87D" w14:textId="77777777" w:rsidR="00703427" w:rsidRPr="00703427" w:rsidRDefault="00703427" w:rsidP="00D26B17">
      <w:pPr>
        <w:pStyle w:val="Boxed3Text"/>
        <w:numPr>
          <w:ilvl w:val="0"/>
          <w:numId w:val="9"/>
        </w:numPr>
      </w:pPr>
      <w:r w:rsidRPr="00703427">
        <w:t xml:space="preserve">Register on </w:t>
      </w:r>
      <w:proofErr w:type="spellStart"/>
      <w:r w:rsidRPr="00703427">
        <w:t>AusTender</w:t>
      </w:r>
      <w:proofErr w:type="spellEnd"/>
      <w:r w:rsidRPr="00703427">
        <w:t xml:space="preserve"> for free and set up notifications.</w:t>
      </w:r>
    </w:p>
    <w:p w14:paraId="53CEBD2A" w14:textId="3F657A3C" w:rsidR="00703427" w:rsidRPr="00703427" w:rsidRDefault="00703427" w:rsidP="0047375E">
      <w:pPr>
        <w:pStyle w:val="Boxed3Text"/>
        <w:numPr>
          <w:ilvl w:val="0"/>
          <w:numId w:val="9"/>
        </w:numPr>
      </w:pPr>
      <w:r w:rsidRPr="00703427">
        <w:t>Understand the buyer.</w:t>
      </w:r>
      <w:r w:rsidR="00D05B69">
        <w:t xml:space="preserve"> </w:t>
      </w:r>
      <w:r w:rsidRPr="00703427">
        <w:t>Each Australian Government organisation has its own needs and purchasing processes. You can check individual websites to learn what each Australian Government organisation does.</w:t>
      </w:r>
      <w:r w:rsidR="00C25273">
        <w:t xml:space="preserve"> </w:t>
      </w:r>
      <w:r w:rsidRPr="00703427">
        <w:t>The online Australian Government directory (</w:t>
      </w:r>
      <w:hyperlink r:id="rId16" w:history="1">
        <w:r w:rsidR="00F659CE" w:rsidRPr="00C25273">
          <w:rPr>
            <w:rStyle w:val="Hyperlink"/>
            <w:rFonts w:cstheme="minorBidi"/>
          </w:rPr>
          <w:t>directory.gov.au</w:t>
        </w:r>
      </w:hyperlink>
      <w:r w:rsidRPr="00703427">
        <w:t>) can also assist with understanding portfolios and organisation structures.</w:t>
      </w:r>
    </w:p>
    <w:p w14:paraId="3D3BCF4C" w14:textId="77777777" w:rsidR="00703427" w:rsidRPr="00703427" w:rsidRDefault="00703427" w:rsidP="00D26B17">
      <w:pPr>
        <w:pStyle w:val="Boxed3Text"/>
        <w:numPr>
          <w:ilvl w:val="0"/>
          <w:numId w:val="9"/>
        </w:numPr>
      </w:pPr>
      <w:r w:rsidRPr="00703427">
        <w:t>Know your value proposition and be prepared to meet common minimum requirements.</w:t>
      </w:r>
    </w:p>
    <w:p w14:paraId="3A8C64AF" w14:textId="77777777" w:rsidR="00703427" w:rsidRPr="00703427" w:rsidRDefault="00703427" w:rsidP="00D26B17">
      <w:pPr>
        <w:pStyle w:val="Boxed3Text"/>
        <w:numPr>
          <w:ilvl w:val="0"/>
          <w:numId w:val="9"/>
        </w:numPr>
      </w:pPr>
      <w:r w:rsidRPr="00703427">
        <w:t>Build connections and utilise networks.</w:t>
      </w:r>
    </w:p>
    <w:p w14:paraId="36FF71C1" w14:textId="77777777" w:rsidR="00703427" w:rsidRPr="00703427" w:rsidRDefault="00703427" w:rsidP="00D26B17">
      <w:pPr>
        <w:pStyle w:val="Boxed3Text"/>
        <w:numPr>
          <w:ilvl w:val="0"/>
          <w:numId w:val="9"/>
        </w:numPr>
      </w:pPr>
      <w:r w:rsidRPr="00703427">
        <w:t>Have an easy to find and user-friendly website.</w:t>
      </w:r>
    </w:p>
    <w:p w14:paraId="00BBCD56" w14:textId="77777777" w:rsidR="00703427" w:rsidRDefault="00703427" w:rsidP="00D26B17">
      <w:pPr>
        <w:pStyle w:val="Boxed3Text"/>
        <w:numPr>
          <w:ilvl w:val="0"/>
          <w:numId w:val="9"/>
        </w:numPr>
      </w:pPr>
      <w:r w:rsidRPr="00703427">
        <w:t>Attend industry events and trade shows.</w:t>
      </w:r>
    </w:p>
    <w:p w14:paraId="7AE63BC5" w14:textId="72BCFDF7" w:rsidR="005173BF" w:rsidRPr="009D2CDD" w:rsidRDefault="005173BF" w:rsidP="00E3484D">
      <w:pPr>
        <w:pStyle w:val="Heading2"/>
        <w:rPr>
          <w:b/>
        </w:rPr>
      </w:pPr>
      <w:bookmarkStart w:id="20" w:name="_Toc155860431"/>
      <w:r w:rsidRPr="000F7EE1">
        <w:rPr>
          <w:b/>
        </w:rPr>
        <w:t>TIPS</w:t>
      </w:r>
      <w:r w:rsidRPr="009D2CDD">
        <w:t xml:space="preserve"> </w:t>
      </w:r>
      <w:r w:rsidR="009B6573">
        <w:t>for sector specific businesses</w:t>
      </w:r>
      <w:bookmarkEnd w:id="20"/>
    </w:p>
    <w:p w14:paraId="763B81E5" w14:textId="0E246D45" w:rsidR="003267FD" w:rsidRPr="00EF6109" w:rsidRDefault="003267FD" w:rsidP="00D26B17">
      <w:pPr>
        <w:pStyle w:val="Boxed3Text"/>
        <w:numPr>
          <w:ilvl w:val="0"/>
          <w:numId w:val="9"/>
        </w:numPr>
      </w:pPr>
      <w:r w:rsidRPr="00FA1CD3">
        <w:t xml:space="preserve">Indigenous businesses can register on Supply Nation’s Indigenous </w:t>
      </w:r>
      <w:r w:rsidRPr="00EF6109">
        <w:t>Business Database</w:t>
      </w:r>
      <w:r w:rsidR="0089545C">
        <w:t xml:space="preserve"> </w:t>
      </w:r>
      <w:r w:rsidR="00BF2475">
        <w:t xml:space="preserve">at </w:t>
      </w:r>
      <w:hyperlink r:id="rId17" w:history="1">
        <w:r w:rsidR="0089545C" w:rsidRPr="0089545C">
          <w:rPr>
            <w:rStyle w:val="Hyperlink"/>
            <w:rFonts w:cstheme="minorBidi"/>
          </w:rPr>
          <w:t>supplynation.org.au</w:t>
        </w:r>
      </w:hyperlink>
      <w:r w:rsidRPr="00EF6109">
        <w:t>.</w:t>
      </w:r>
    </w:p>
    <w:p w14:paraId="63F31AE9" w14:textId="552D864A" w:rsidR="003267FD" w:rsidRPr="00FA1CD3" w:rsidRDefault="003267FD" w:rsidP="00D26B17">
      <w:pPr>
        <w:pStyle w:val="Boxed3Text"/>
        <w:numPr>
          <w:ilvl w:val="0"/>
          <w:numId w:val="9"/>
        </w:numPr>
        <w:rPr>
          <w:b/>
          <w:bCs/>
        </w:rPr>
      </w:pPr>
      <w:r w:rsidRPr="00FA1CD3">
        <w:t xml:space="preserve">Businesses in the ICT sector may wish to explore panels available on the </w:t>
      </w:r>
      <w:proofErr w:type="spellStart"/>
      <w:r w:rsidRPr="00FA1CD3">
        <w:t>BuyICT</w:t>
      </w:r>
      <w:proofErr w:type="spellEnd"/>
      <w:r w:rsidR="00BF2475" w:rsidRPr="00FA1CD3" w:rsidDel="00BF2475">
        <w:t xml:space="preserve"> </w:t>
      </w:r>
      <w:r w:rsidRPr="00FA1CD3">
        <w:t>platform</w:t>
      </w:r>
      <w:r w:rsidR="00DD7F53">
        <w:t xml:space="preserve"> </w:t>
      </w:r>
      <w:r w:rsidR="00BF2475">
        <w:t xml:space="preserve">at </w:t>
      </w:r>
      <w:hyperlink r:id="rId18" w:history="1">
        <w:r w:rsidR="00DD7F53" w:rsidRPr="00DD7F53">
          <w:rPr>
            <w:rStyle w:val="Hyperlink"/>
            <w:rFonts w:cstheme="minorBidi"/>
          </w:rPr>
          <w:t>BuyICT.gov.au</w:t>
        </w:r>
      </w:hyperlink>
      <w:r w:rsidRPr="00FA1CD3">
        <w:t>.</w:t>
      </w:r>
    </w:p>
    <w:p w14:paraId="4C8AE309" w14:textId="60CDE480" w:rsidR="000E7A82" w:rsidRPr="003F5B33" w:rsidRDefault="003267FD" w:rsidP="00CA67A9">
      <w:pPr>
        <w:pStyle w:val="Boxed3Text"/>
        <w:numPr>
          <w:ilvl w:val="0"/>
          <w:numId w:val="9"/>
        </w:numPr>
        <w:rPr>
          <w:rFonts w:asciiTheme="majorHAnsi" w:eastAsiaTheme="majorEastAsia" w:hAnsiTheme="majorHAnsi" w:cstheme="majorBidi"/>
          <w:color w:val="265659" w:themeColor="text2"/>
          <w:sz w:val="34"/>
          <w:szCs w:val="26"/>
        </w:rPr>
      </w:pPr>
      <w:r w:rsidRPr="00FA1CD3">
        <w:t>Businesses interested in the defence industry may wish to engage the Office of Defence Industry Support</w:t>
      </w:r>
      <w:r w:rsidR="00DD7F53">
        <w:t xml:space="preserve"> </w:t>
      </w:r>
      <w:r w:rsidR="00BF2475">
        <w:t xml:space="preserve">at </w:t>
      </w:r>
      <w:hyperlink r:id="rId19" w:history="1">
        <w:r w:rsidR="00DD7F53" w:rsidRPr="0067187A">
          <w:rPr>
            <w:rStyle w:val="Hyperlink"/>
            <w:rFonts w:cstheme="minorBidi"/>
          </w:rPr>
          <w:t>defence.gov.au/ODIS</w:t>
        </w:r>
      </w:hyperlink>
      <w:r w:rsidRPr="00FA1CD3">
        <w:t>. </w:t>
      </w:r>
      <w:r w:rsidR="000E7A82">
        <w:br w:type="page"/>
      </w:r>
    </w:p>
    <w:p w14:paraId="0E191F30" w14:textId="01E9FA7F" w:rsidR="00816E17" w:rsidRPr="005173BF" w:rsidRDefault="00FE4F28" w:rsidP="00E3484D">
      <w:pPr>
        <w:pStyle w:val="Heading2"/>
      </w:pPr>
      <w:bookmarkStart w:id="21" w:name="_Toc155860432"/>
      <w:proofErr w:type="spellStart"/>
      <w:r w:rsidRPr="005173BF">
        <w:lastRenderedPageBreak/>
        <w:t>AusTender</w:t>
      </w:r>
      <w:bookmarkEnd w:id="21"/>
      <w:proofErr w:type="spellEnd"/>
    </w:p>
    <w:p w14:paraId="181F18CD" w14:textId="38533927" w:rsidR="00DE70F4" w:rsidRPr="00DE70F4" w:rsidRDefault="00DE70F4" w:rsidP="00F463FE">
      <w:pPr>
        <w:pStyle w:val="Boxed1Text"/>
      </w:pPr>
      <w:r w:rsidRPr="00DE70F4">
        <w:t xml:space="preserve">The Australian Government publishes current business opportunities and notices of standing offers and successful contracts, valued at or above $10,000, on the </w:t>
      </w:r>
      <w:proofErr w:type="spellStart"/>
      <w:r w:rsidRPr="00DE70F4">
        <w:t>AusTender</w:t>
      </w:r>
      <w:proofErr w:type="spellEnd"/>
      <w:r w:rsidRPr="00DE70F4">
        <w:t xml:space="preserve"> website</w:t>
      </w:r>
      <w:r w:rsidR="0067187A">
        <w:t xml:space="preserve"> (</w:t>
      </w:r>
      <w:hyperlink r:id="rId20" w:history="1">
        <w:r w:rsidR="0067187A" w:rsidRPr="00776841">
          <w:rPr>
            <w:rStyle w:val="Hyperlink"/>
            <w:rFonts w:cstheme="minorBidi"/>
          </w:rPr>
          <w:t>tenders.gov.au</w:t>
        </w:r>
      </w:hyperlink>
      <w:r w:rsidR="00776841">
        <w:t>)</w:t>
      </w:r>
      <w:r w:rsidRPr="00DE70F4">
        <w:t>. </w:t>
      </w:r>
    </w:p>
    <w:p w14:paraId="7C072B83" w14:textId="13DFB774" w:rsidR="00DE70F4" w:rsidRPr="000642A4" w:rsidRDefault="000642A4" w:rsidP="00F463FE">
      <w:r w:rsidRPr="000642A4">
        <w:t xml:space="preserve">You can use </w:t>
      </w:r>
      <w:proofErr w:type="spellStart"/>
      <w:r>
        <w:t>A</w:t>
      </w:r>
      <w:r w:rsidRPr="000642A4">
        <w:t>us</w:t>
      </w:r>
      <w:r>
        <w:t>T</w:t>
      </w:r>
      <w:r w:rsidRPr="000642A4">
        <w:t>ender</w:t>
      </w:r>
      <w:proofErr w:type="spellEnd"/>
      <w:r w:rsidRPr="000642A4">
        <w:t xml:space="preserve"> to:</w:t>
      </w:r>
    </w:p>
    <w:p w14:paraId="3A1D45E3" w14:textId="77777777" w:rsidR="00DE70F4" w:rsidRPr="00DE70F4" w:rsidRDefault="00DE70F4" w:rsidP="0047375E">
      <w:pPr>
        <w:pStyle w:val="Bullet1"/>
      </w:pPr>
      <w:r w:rsidRPr="00DE70F4">
        <w:t>Register for free and be notified of business opportunities that match your business profile</w:t>
      </w:r>
    </w:p>
    <w:p w14:paraId="100EF4B4" w14:textId="069E72BA" w:rsidR="00DE70F4" w:rsidRPr="00DE70F4" w:rsidRDefault="00DE70F4" w:rsidP="0047375E">
      <w:pPr>
        <w:pStyle w:val="Bullet1"/>
      </w:pPr>
      <w:r w:rsidRPr="00DE70F4">
        <w:t>See upcoming opportunities in annual procurement plans</w:t>
      </w:r>
    </w:p>
    <w:p w14:paraId="28CE4BB3" w14:textId="77777777" w:rsidR="00DE70F4" w:rsidRPr="00DE70F4" w:rsidRDefault="00DE70F4" w:rsidP="0047375E">
      <w:pPr>
        <w:pStyle w:val="Bullet1"/>
      </w:pPr>
      <w:r w:rsidRPr="00DE70F4">
        <w:t>Download tender documents</w:t>
      </w:r>
    </w:p>
    <w:p w14:paraId="0D3ACF3F" w14:textId="77777777" w:rsidR="00DE70F4" w:rsidRPr="00DE70F4" w:rsidRDefault="00DE70F4" w:rsidP="0047375E">
      <w:pPr>
        <w:pStyle w:val="Bullet1"/>
      </w:pPr>
      <w:r w:rsidRPr="00DE70F4">
        <w:t>Lodge a tender response</w:t>
      </w:r>
    </w:p>
    <w:p w14:paraId="2470A716" w14:textId="242D66BA" w:rsidR="00816E17" w:rsidRDefault="00DE70F4" w:rsidP="0047375E">
      <w:pPr>
        <w:pStyle w:val="Bullet1"/>
      </w:pPr>
      <w:r w:rsidRPr="00DE70F4">
        <w:t>Find details about successful tenderers and existing contracts.</w:t>
      </w:r>
    </w:p>
    <w:p w14:paraId="1996B8DD" w14:textId="4EA1395B" w:rsidR="000970A2" w:rsidRPr="00BB2D63" w:rsidRDefault="000970A2" w:rsidP="00D51AB4">
      <w:pPr>
        <w:pStyle w:val="Boxed3Text"/>
        <w:rPr>
          <w:b/>
          <w:bCs/>
        </w:rPr>
      </w:pPr>
      <w:r w:rsidRPr="00BB2D63">
        <w:rPr>
          <w:b/>
          <w:bCs/>
        </w:rPr>
        <w:t>TIP</w:t>
      </w:r>
      <w:r w:rsidR="007E5230" w:rsidRPr="00BB2D63">
        <w:rPr>
          <w:b/>
          <w:bCs/>
        </w:rPr>
        <w:t>S</w:t>
      </w:r>
      <w:r w:rsidR="00242FB2" w:rsidRPr="00BB2D63">
        <w:rPr>
          <w:b/>
          <w:bCs/>
        </w:rPr>
        <w:t>:</w:t>
      </w:r>
    </w:p>
    <w:p w14:paraId="43C79A35" w14:textId="40A0D2C4" w:rsidR="000C4382" w:rsidRDefault="000C4382" w:rsidP="00D26B17">
      <w:pPr>
        <w:pStyle w:val="Boxed3Text"/>
        <w:numPr>
          <w:ilvl w:val="0"/>
          <w:numId w:val="10"/>
        </w:numPr>
      </w:pPr>
      <w:r w:rsidRPr="00FF7BA4">
        <w:t xml:space="preserve">New to </w:t>
      </w:r>
      <w:proofErr w:type="spellStart"/>
      <w:r w:rsidRPr="00FF7BA4">
        <w:t>AusTender</w:t>
      </w:r>
      <w:proofErr w:type="spellEnd"/>
      <w:r w:rsidRPr="00FF7BA4">
        <w:t xml:space="preserve">? Check out the </w:t>
      </w:r>
      <w:hyperlink r:id="rId21" w:history="1">
        <w:r w:rsidRPr="0092670C">
          <w:rPr>
            <w:rStyle w:val="Hyperlink"/>
            <w:rFonts w:cstheme="minorBidi"/>
          </w:rPr>
          <w:t>Become a Registered User</w:t>
        </w:r>
      </w:hyperlink>
      <w:r w:rsidRPr="00FF7BA4">
        <w:t xml:space="preserve"> page</w:t>
      </w:r>
      <w:r w:rsidR="00B13A20">
        <w:t xml:space="preserve"> </w:t>
      </w:r>
      <w:r w:rsidRPr="00FF7BA4">
        <w:t>to see how to freely register and receive notifications of when relevant business opportunities become available.</w:t>
      </w:r>
    </w:p>
    <w:p w14:paraId="2307F539" w14:textId="01FC6CA8" w:rsidR="00581533" w:rsidRPr="003F5B33" w:rsidRDefault="00FF7BA4" w:rsidP="4B6BC10A">
      <w:pPr>
        <w:pStyle w:val="Boxed3Text"/>
        <w:numPr>
          <w:ilvl w:val="0"/>
          <w:numId w:val="10"/>
        </w:numPr>
        <w:rPr>
          <w:rFonts w:asciiTheme="majorHAnsi" w:eastAsiaTheme="majorEastAsia" w:hAnsiTheme="majorHAnsi" w:cstheme="majorBidi"/>
          <w:color w:val="265659" w:themeColor="text2"/>
          <w:sz w:val="34"/>
          <w:szCs w:val="34"/>
        </w:rPr>
      </w:pPr>
      <w:r>
        <w:t xml:space="preserve">Visit the </w:t>
      </w:r>
      <w:proofErr w:type="spellStart"/>
      <w:r>
        <w:t>AusTender</w:t>
      </w:r>
      <w:proofErr w:type="spellEnd"/>
      <w:r>
        <w:t xml:space="preserve"> Help and Information Centre (</w:t>
      </w:r>
      <w:hyperlink r:id="rId22">
        <w:r w:rsidRPr="4B6BC10A">
          <w:rPr>
            <w:rStyle w:val="Hyperlink"/>
            <w:rFonts w:cstheme="minorBidi"/>
          </w:rPr>
          <w:t>help.tenders.gov.au</w:t>
        </w:r>
      </w:hyperlink>
      <w:r>
        <w:t>) to learn how to find business opportunities and see answers to frequently asked questions including how to lodge a tender response.</w:t>
      </w:r>
      <w:r w:rsidR="17F7CE60">
        <w:t xml:space="preserve"> </w:t>
      </w:r>
      <w:r>
        <w:br w:type="page"/>
      </w:r>
    </w:p>
    <w:p w14:paraId="603E6511" w14:textId="6A597214" w:rsidR="00816E17" w:rsidRDefault="00E84FF0" w:rsidP="00E3484D">
      <w:pPr>
        <w:pStyle w:val="Heading1"/>
      </w:pPr>
      <w:bookmarkStart w:id="22" w:name="_Toc155860433"/>
      <w:r>
        <w:lastRenderedPageBreak/>
        <w:t>Preparing a response</w:t>
      </w:r>
      <w:r w:rsidR="00FF7BA4" w:rsidRPr="00681CEF">
        <w:t xml:space="preserve"> to an ATM</w:t>
      </w:r>
      <w:bookmarkEnd w:id="22"/>
    </w:p>
    <w:p w14:paraId="51D52B23" w14:textId="0C3FFB52" w:rsidR="00E57336" w:rsidRDefault="00A85B59" w:rsidP="00E3484D">
      <w:pPr>
        <w:pStyle w:val="Heading2"/>
      </w:pPr>
      <w:bookmarkStart w:id="23" w:name="_Toc155860434"/>
      <w:r>
        <w:t>Common elements</w:t>
      </w:r>
      <w:r w:rsidR="00E57336">
        <w:t xml:space="preserve"> in ATM documentation</w:t>
      </w:r>
      <w:bookmarkEnd w:id="23"/>
    </w:p>
    <w:tbl>
      <w:tblPr>
        <w:tblStyle w:val="ListTable3-Accent1"/>
        <w:tblW w:w="9140" w:type="dxa"/>
        <w:tblBorders>
          <w:top w:val="single" w:sz="4" w:space="0" w:color="CAF0EF" w:themeColor="accent2" w:themeTint="33"/>
          <w:left w:val="single" w:sz="4" w:space="0" w:color="CAF0EF" w:themeColor="accent2" w:themeTint="33"/>
          <w:bottom w:val="single" w:sz="4" w:space="0" w:color="CAF0EF" w:themeColor="accent2" w:themeTint="33"/>
          <w:right w:val="single" w:sz="4" w:space="0" w:color="CAF0EF" w:themeColor="accent2" w:themeTint="33"/>
          <w:insideH w:val="single" w:sz="4" w:space="0" w:color="CAF0EF" w:themeColor="accent2" w:themeTint="33"/>
          <w:insideV w:val="single" w:sz="4" w:space="0" w:color="CAF0EF" w:themeColor="accent2" w:themeTint="33"/>
        </w:tblBorders>
        <w:tblLook w:val="04A0" w:firstRow="1" w:lastRow="0" w:firstColumn="1" w:lastColumn="0" w:noHBand="0" w:noVBand="1"/>
        <w:tblCaption w:val="Common elements in ATM documentation"/>
        <w:tblDescription w:val="Outlines what is typically found in ATM documentation by listing each element and an explanation of what that section may include."/>
      </w:tblPr>
      <w:tblGrid>
        <w:gridCol w:w="1696"/>
        <w:gridCol w:w="7444"/>
      </w:tblGrid>
      <w:tr w:rsidR="004D5859" w:rsidRPr="00FF7BA4" w14:paraId="0BA94155" w14:textId="77777777" w:rsidTr="009B6573">
        <w:trPr>
          <w:cnfStyle w:val="100000000000" w:firstRow="1" w:lastRow="0" w:firstColumn="0" w:lastColumn="0" w:oddVBand="0" w:evenVBand="0" w:oddHBand="0" w:evenHBand="0" w:firstRowFirstColumn="0" w:firstRowLastColumn="0" w:lastRowFirstColumn="0" w:lastRowLastColumn="0"/>
          <w:trHeight w:val="485"/>
        </w:trPr>
        <w:tc>
          <w:tcPr>
            <w:cnfStyle w:val="001000000100" w:firstRow="0" w:lastRow="0" w:firstColumn="1" w:lastColumn="0" w:oddVBand="0" w:evenVBand="0" w:oddHBand="0" w:evenHBand="0" w:firstRowFirstColumn="1" w:firstRowLastColumn="0" w:lastRowFirstColumn="0" w:lastRowLastColumn="0"/>
            <w:tcW w:w="1696" w:type="dxa"/>
          </w:tcPr>
          <w:p w14:paraId="38F325D9" w14:textId="164264E9" w:rsidR="004D5859" w:rsidRPr="009D2CDD" w:rsidRDefault="00E57336" w:rsidP="00C82934">
            <w:pPr>
              <w:spacing w:after="180"/>
              <w:rPr>
                <w:b w:val="0"/>
                <w:bCs w:val="0"/>
                <w:color w:val="265659" w:themeColor="text2"/>
              </w:rPr>
            </w:pPr>
            <w:r w:rsidRPr="009D2CDD">
              <w:rPr>
                <w:b w:val="0"/>
                <w:bCs w:val="0"/>
              </w:rPr>
              <w:t>Element</w:t>
            </w:r>
          </w:p>
        </w:tc>
        <w:tc>
          <w:tcPr>
            <w:tcW w:w="7444" w:type="dxa"/>
          </w:tcPr>
          <w:p w14:paraId="62FFD55D" w14:textId="1C60CCB4" w:rsidR="004D5859" w:rsidRPr="009D2CDD" w:rsidRDefault="00A07E86" w:rsidP="00C82934">
            <w:pPr>
              <w:spacing w:after="180"/>
              <w:cnfStyle w:val="100000000000" w:firstRow="1" w:lastRow="0" w:firstColumn="0" w:lastColumn="0" w:oddVBand="0" w:evenVBand="0" w:oddHBand="0" w:evenHBand="0" w:firstRowFirstColumn="0" w:firstRowLastColumn="0" w:lastRowFirstColumn="0" w:lastRowLastColumn="0"/>
              <w:rPr>
                <w:b w:val="0"/>
                <w:bCs w:val="0"/>
              </w:rPr>
            </w:pPr>
            <w:r>
              <w:rPr>
                <w:b w:val="0"/>
                <w:bCs w:val="0"/>
                <w:lang w:val="en-GB"/>
              </w:rPr>
              <w:t>Contents</w:t>
            </w:r>
          </w:p>
        </w:tc>
      </w:tr>
      <w:tr w:rsidR="00FF7BA4" w:rsidRPr="00FF7BA4" w14:paraId="26739D12" w14:textId="77777777" w:rsidTr="009B6573">
        <w:trPr>
          <w:cnfStyle w:val="000000100000" w:firstRow="0" w:lastRow="0" w:firstColumn="0" w:lastColumn="0" w:oddVBand="0" w:evenVBand="0" w:oddHBand="1" w:evenHBand="0" w:firstRowFirstColumn="0" w:firstRowLastColumn="0" w:lastRowFirstColumn="0" w:lastRowLastColumn="0"/>
          <w:trHeight w:val="1784"/>
        </w:trPr>
        <w:tc>
          <w:tcPr>
            <w:cnfStyle w:val="001000000000" w:firstRow="0" w:lastRow="0" w:firstColumn="1" w:lastColumn="0" w:oddVBand="0" w:evenVBand="0" w:oddHBand="0" w:evenHBand="0" w:firstRowFirstColumn="0" w:firstRowLastColumn="0" w:lastRowFirstColumn="0" w:lastRowLastColumn="0"/>
            <w:tcW w:w="1696" w:type="dxa"/>
            <w:hideMark/>
          </w:tcPr>
          <w:p w14:paraId="00F9ECD5" w14:textId="77777777" w:rsidR="00FF7BA4" w:rsidRPr="009D2CDD" w:rsidRDefault="00FF7BA4" w:rsidP="00C82934">
            <w:pPr>
              <w:spacing w:after="180"/>
              <w:rPr>
                <w:b w:val="0"/>
                <w:bCs w:val="0"/>
              </w:rPr>
            </w:pPr>
            <w:r w:rsidRPr="009D2CDD">
              <w:rPr>
                <w:b w:val="0"/>
                <w:bCs w:val="0"/>
              </w:rPr>
              <w:t>Description</w:t>
            </w:r>
          </w:p>
        </w:tc>
        <w:tc>
          <w:tcPr>
            <w:tcW w:w="7444" w:type="dxa"/>
            <w:hideMark/>
          </w:tcPr>
          <w:p w14:paraId="43623D27" w14:textId="77777777" w:rsidR="00A85B59" w:rsidRDefault="00A85B59" w:rsidP="00C82934">
            <w:pPr>
              <w:spacing w:after="180"/>
              <w:cnfStyle w:val="000000100000" w:firstRow="0" w:lastRow="0" w:firstColumn="0" w:lastColumn="0" w:oddVBand="0" w:evenVBand="0" w:oddHBand="1" w:evenHBand="0" w:firstRowFirstColumn="0" w:firstRowLastColumn="0" w:lastRowFirstColumn="0" w:lastRowLastColumn="0"/>
            </w:pPr>
            <w:r>
              <w:t>Typically includes:</w:t>
            </w:r>
          </w:p>
          <w:p w14:paraId="76F3E238" w14:textId="341276BF" w:rsidR="00FF7BA4" w:rsidRPr="004D5859" w:rsidRDefault="00FF7BA4" w:rsidP="0047375E">
            <w:pPr>
              <w:pStyle w:val="Bullet1"/>
              <w:cnfStyle w:val="000000100000" w:firstRow="0" w:lastRow="0" w:firstColumn="0" w:lastColumn="0" w:oddVBand="0" w:evenVBand="0" w:oddHBand="1" w:evenHBand="0" w:firstRowFirstColumn="0" w:firstRowLastColumn="0" w:lastRowFirstColumn="0" w:lastRowLastColumn="0"/>
            </w:pPr>
            <w:r w:rsidRPr="004D5859">
              <w:t>Statement of Requirements outlining the nature and scope of the work.</w:t>
            </w:r>
          </w:p>
          <w:p w14:paraId="053A6B42" w14:textId="77777777" w:rsidR="00FF7BA4" w:rsidRPr="004D5859" w:rsidRDefault="00FF7BA4" w:rsidP="0047375E">
            <w:pPr>
              <w:pStyle w:val="Bullet1"/>
              <w:cnfStyle w:val="000000100000" w:firstRow="0" w:lastRow="0" w:firstColumn="0" w:lastColumn="0" w:oddVBand="0" w:evenVBand="0" w:oddHBand="1" w:evenHBand="0" w:firstRowFirstColumn="0" w:firstRowLastColumn="0" w:lastRowFirstColumn="0" w:lastRowLastColumn="0"/>
            </w:pPr>
            <w:r w:rsidRPr="004D5859">
              <w:t>Deliverables or the expected outcomes.</w:t>
            </w:r>
          </w:p>
          <w:p w14:paraId="2D3163DF" w14:textId="6B1BC044" w:rsidR="00FF7BA4" w:rsidRPr="004D5859" w:rsidRDefault="0037209C" w:rsidP="0047375E">
            <w:pPr>
              <w:pStyle w:val="Bullet1"/>
              <w:cnfStyle w:val="000000100000" w:firstRow="0" w:lastRow="0" w:firstColumn="0" w:lastColumn="0" w:oddVBand="0" w:evenVBand="0" w:oddHBand="1" w:evenHBand="0" w:firstRowFirstColumn="0" w:firstRowLastColumn="0" w:lastRowFirstColumn="0" w:lastRowLastColumn="0"/>
            </w:pPr>
            <w:r>
              <w:t>S</w:t>
            </w:r>
            <w:r w:rsidR="00FF7BA4" w:rsidRPr="004D5859">
              <w:t>pecifications.</w:t>
            </w:r>
          </w:p>
          <w:p w14:paraId="5AD131E2" w14:textId="52D7A080" w:rsidR="004D5859" w:rsidRPr="004D5859" w:rsidRDefault="00FF7BA4" w:rsidP="0047375E">
            <w:pPr>
              <w:pStyle w:val="Bullet1"/>
              <w:cnfStyle w:val="000000100000" w:firstRow="0" w:lastRow="0" w:firstColumn="0" w:lastColumn="0" w:oddVBand="0" w:evenVBand="0" w:oddHBand="1" w:evenHBand="0" w:firstRowFirstColumn="0" w:firstRowLastColumn="0" w:lastRowFirstColumn="0" w:lastRowLastColumn="0"/>
            </w:pPr>
            <w:r w:rsidRPr="004D5859">
              <w:t>Timeframes for delivery and information on any industry briefings.</w:t>
            </w:r>
          </w:p>
        </w:tc>
      </w:tr>
      <w:tr w:rsidR="00FF7BA4" w:rsidRPr="00FF7BA4" w14:paraId="040FB346" w14:textId="77777777" w:rsidTr="009B6573">
        <w:trPr>
          <w:trHeight w:val="1274"/>
        </w:trPr>
        <w:tc>
          <w:tcPr>
            <w:cnfStyle w:val="001000000000" w:firstRow="0" w:lastRow="0" w:firstColumn="1" w:lastColumn="0" w:oddVBand="0" w:evenVBand="0" w:oddHBand="0" w:evenHBand="0" w:firstRowFirstColumn="0" w:firstRowLastColumn="0" w:lastRowFirstColumn="0" w:lastRowLastColumn="0"/>
            <w:tcW w:w="1696" w:type="dxa"/>
            <w:shd w:val="clear" w:color="auto" w:fill="EBF7F7" w:themeFill="accent4" w:themeFillTint="33"/>
            <w:hideMark/>
          </w:tcPr>
          <w:p w14:paraId="3C5D7995" w14:textId="77777777" w:rsidR="00FF7BA4" w:rsidRPr="009D2CDD" w:rsidRDefault="00FF7BA4" w:rsidP="00C82934">
            <w:pPr>
              <w:spacing w:after="180"/>
              <w:rPr>
                <w:b w:val="0"/>
                <w:bCs w:val="0"/>
              </w:rPr>
            </w:pPr>
            <w:r w:rsidRPr="009D2CDD">
              <w:rPr>
                <w:b w:val="0"/>
                <w:bCs w:val="0"/>
              </w:rPr>
              <w:t>Conditions for participation</w:t>
            </w:r>
          </w:p>
        </w:tc>
        <w:tc>
          <w:tcPr>
            <w:tcW w:w="7444" w:type="dxa"/>
            <w:shd w:val="clear" w:color="auto" w:fill="EBF7F7" w:themeFill="accent4" w:themeFillTint="33"/>
            <w:hideMark/>
          </w:tcPr>
          <w:p w14:paraId="690E0BE3" w14:textId="77777777" w:rsidR="00FF7BA4"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 xml:space="preserve">May request relevant licenses, standards, or insurance. If applicable, will include any requirements under Procurement Connected Policies. </w:t>
            </w:r>
          </w:p>
          <w:p w14:paraId="5AEAFD99" w14:textId="6C9AEA13" w:rsidR="004D5859"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If you do not meet these requirements, your tender will not be considered.</w:t>
            </w:r>
          </w:p>
        </w:tc>
      </w:tr>
      <w:tr w:rsidR="00FF7BA4" w:rsidRPr="00FF7BA4" w14:paraId="22A7F56B" w14:textId="77777777" w:rsidTr="009B6573">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1696" w:type="dxa"/>
            <w:hideMark/>
          </w:tcPr>
          <w:p w14:paraId="695D2BFD" w14:textId="77777777" w:rsidR="00FF7BA4" w:rsidRPr="009D2CDD" w:rsidRDefault="00FF7BA4" w:rsidP="00C82934">
            <w:pPr>
              <w:spacing w:after="180"/>
              <w:rPr>
                <w:b w:val="0"/>
                <w:bCs w:val="0"/>
              </w:rPr>
            </w:pPr>
            <w:r w:rsidRPr="009D2CDD">
              <w:rPr>
                <w:b w:val="0"/>
                <w:bCs w:val="0"/>
              </w:rPr>
              <w:t>Evaluation criteria</w:t>
            </w:r>
          </w:p>
        </w:tc>
        <w:tc>
          <w:tcPr>
            <w:tcW w:w="7444" w:type="dxa"/>
            <w:hideMark/>
          </w:tcPr>
          <w:p w14:paraId="366D8584" w14:textId="640CCE41" w:rsidR="004D5859" w:rsidRPr="004D5859" w:rsidRDefault="00FF7BA4" w:rsidP="00C82934">
            <w:pPr>
              <w:spacing w:after="180"/>
              <w:cnfStyle w:val="000000100000" w:firstRow="0" w:lastRow="0" w:firstColumn="0" w:lastColumn="0" w:oddVBand="0" w:evenVBand="0" w:oddHBand="1" w:evenHBand="0" w:firstRowFirstColumn="0" w:firstRowLastColumn="0" w:lastRowFirstColumn="0" w:lastRowLastColumn="0"/>
            </w:pPr>
            <w:r w:rsidRPr="004D5859">
              <w:t>Used by buyers to assess tenders. There is no one set of criteria as it varies across ATMs. Examples of evaluation criteria include demonstrated ability to provide the goods/services and pricing.</w:t>
            </w:r>
          </w:p>
        </w:tc>
      </w:tr>
      <w:tr w:rsidR="00FF7BA4" w:rsidRPr="00FF7BA4" w14:paraId="4DE388A9" w14:textId="77777777" w:rsidTr="009B6573">
        <w:trPr>
          <w:trHeight w:val="906"/>
        </w:trPr>
        <w:tc>
          <w:tcPr>
            <w:cnfStyle w:val="001000000000" w:firstRow="0" w:lastRow="0" w:firstColumn="1" w:lastColumn="0" w:oddVBand="0" w:evenVBand="0" w:oddHBand="0" w:evenHBand="0" w:firstRowFirstColumn="0" w:firstRowLastColumn="0" w:lastRowFirstColumn="0" w:lastRowLastColumn="0"/>
            <w:tcW w:w="1696" w:type="dxa"/>
            <w:shd w:val="clear" w:color="auto" w:fill="EBF7F7" w:themeFill="accent4" w:themeFillTint="33"/>
            <w:hideMark/>
          </w:tcPr>
          <w:p w14:paraId="207EC2E5" w14:textId="77777777" w:rsidR="00FF7BA4" w:rsidRPr="009D2CDD" w:rsidRDefault="00FF7BA4" w:rsidP="00C82934">
            <w:pPr>
              <w:spacing w:after="180"/>
              <w:rPr>
                <w:b w:val="0"/>
                <w:bCs w:val="0"/>
              </w:rPr>
            </w:pPr>
            <w:r w:rsidRPr="009D2CDD">
              <w:rPr>
                <w:b w:val="0"/>
                <w:bCs w:val="0"/>
              </w:rPr>
              <w:t>Minimum content and format requirements</w:t>
            </w:r>
          </w:p>
        </w:tc>
        <w:tc>
          <w:tcPr>
            <w:tcW w:w="7444" w:type="dxa"/>
            <w:shd w:val="clear" w:color="auto" w:fill="EBF7F7" w:themeFill="accent4" w:themeFillTint="33"/>
            <w:hideMark/>
          </w:tcPr>
          <w:p w14:paraId="3A07876F" w14:textId="5D8ED38B" w:rsidR="004D5859"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Examples include providing certificates, using certain schedules or submitting a response electronically.</w:t>
            </w:r>
          </w:p>
        </w:tc>
      </w:tr>
      <w:tr w:rsidR="00FF7BA4" w:rsidRPr="00FF7BA4" w14:paraId="3ECBF37A" w14:textId="77777777" w:rsidTr="009B657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696" w:type="dxa"/>
            <w:hideMark/>
          </w:tcPr>
          <w:p w14:paraId="2CFEA558" w14:textId="77777777" w:rsidR="00FF7BA4" w:rsidRPr="009D2CDD" w:rsidRDefault="00FF7BA4" w:rsidP="00C82934">
            <w:pPr>
              <w:spacing w:after="180"/>
              <w:rPr>
                <w:b w:val="0"/>
                <w:bCs w:val="0"/>
              </w:rPr>
            </w:pPr>
            <w:r w:rsidRPr="009D2CDD">
              <w:rPr>
                <w:b w:val="0"/>
                <w:bCs w:val="0"/>
              </w:rPr>
              <w:t>Process rules</w:t>
            </w:r>
          </w:p>
        </w:tc>
        <w:tc>
          <w:tcPr>
            <w:tcW w:w="7444" w:type="dxa"/>
            <w:hideMark/>
          </w:tcPr>
          <w:p w14:paraId="4019F4AA" w14:textId="28304C87" w:rsidR="004D5859" w:rsidRPr="004D5859" w:rsidRDefault="00FF7BA4" w:rsidP="00C82934">
            <w:pPr>
              <w:spacing w:after="180"/>
              <w:cnfStyle w:val="000000100000" w:firstRow="0" w:lastRow="0" w:firstColumn="0" w:lastColumn="0" w:oddVBand="0" w:evenVBand="0" w:oddHBand="1" w:evenHBand="0" w:firstRowFirstColumn="0" w:firstRowLastColumn="0" w:lastRowFirstColumn="0" w:lastRowLastColumn="0"/>
            </w:pPr>
            <w:r w:rsidRPr="004D5859">
              <w:t>Outlines how the tender will be run and how the responses will be evaluated.</w:t>
            </w:r>
          </w:p>
        </w:tc>
      </w:tr>
      <w:tr w:rsidR="00FF7BA4" w:rsidRPr="00FF7BA4" w14:paraId="734E5E6F" w14:textId="77777777" w:rsidTr="009B6573">
        <w:trPr>
          <w:trHeight w:val="510"/>
        </w:trPr>
        <w:tc>
          <w:tcPr>
            <w:cnfStyle w:val="001000000000" w:firstRow="0" w:lastRow="0" w:firstColumn="1" w:lastColumn="0" w:oddVBand="0" w:evenVBand="0" w:oddHBand="0" w:evenHBand="0" w:firstRowFirstColumn="0" w:firstRowLastColumn="0" w:lastRowFirstColumn="0" w:lastRowLastColumn="0"/>
            <w:tcW w:w="1696" w:type="dxa"/>
            <w:shd w:val="clear" w:color="auto" w:fill="EBF7F7" w:themeFill="accent4" w:themeFillTint="33"/>
            <w:hideMark/>
          </w:tcPr>
          <w:p w14:paraId="3148615E" w14:textId="77777777" w:rsidR="00FF7BA4" w:rsidRPr="009D2CDD" w:rsidRDefault="00FF7BA4" w:rsidP="00C82934">
            <w:pPr>
              <w:spacing w:after="180"/>
              <w:rPr>
                <w:b w:val="0"/>
                <w:bCs w:val="0"/>
              </w:rPr>
            </w:pPr>
            <w:r w:rsidRPr="009D2CDD">
              <w:rPr>
                <w:b w:val="0"/>
                <w:bCs w:val="0"/>
              </w:rPr>
              <w:t>Draft contract</w:t>
            </w:r>
          </w:p>
        </w:tc>
        <w:tc>
          <w:tcPr>
            <w:tcW w:w="7444" w:type="dxa"/>
            <w:shd w:val="clear" w:color="auto" w:fill="EBF7F7" w:themeFill="accent4" w:themeFillTint="33"/>
            <w:hideMark/>
          </w:tcPr>
          <w:p w14:paraId="40CC2904" w14:textId="4FBBA8E6" w:rsidR="0015175D"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Allows you to clearly understand requirements, terms, and conditions.</w:t>
            </w:r>
          </w:p>
        </w:tc>
      </w:tr>
    </w:tbl>
    <w:p w14:paraId="39C7F689" w14:textId="1A222BD5" w:rsidR="00087CF2" w:rsidRPr="00BB2D63" w:rsidRDefault="00884D54" w:rsidP="00A8075D">
      <w:pPr>
        <w:pStyle w:val="Boxed3Text"/>
        <w:rPr>
          <w:b/>
          <w:bCs/>
        </w:rPr>
      </w:pPr>
      <w:r w:rsidRPr="00BB2D63">
        <w:rPr>
          <w:b/>
          <w:bCs/>
        </w:rPr>
        <w:t>TIP</w:t>
      </w:r>
      <w:r w:rsidR="007E5230" w:rsidRPr="00BB2D63">
        <w:rPr>
          <w:b/>
          <w:bCs/>
        </w:rPr>
        <w:t>S</w:t>
      </w:r>
      <w:r w:rsidR="00242FB2" w:rsidRPr="00BB2D63">
        <w:rPr>
          <w:b/>
          <w:bCs/>
        </w:rPr>
        <w:t>:</w:t>
      </w:r>
    </w:p>
    <w:p w14:paraId="0B935304" w14:textId="66314713" w:rsidR="00A623D6" w:rsidRPr="00117129" w:rsidRDefault="00A623D6" w:rsidP="00D26B17">
      <w:pPr>
        <w:pStyle w:val="Boxed3Text"/>
        <w:numPr>
          <w:ilvl w:val="0"/>
          <w:numId w:val="11"/>
        </w:numPr>
      </w:pPr>
      <w:r w:rsidRPr="00117129">
        <w:t xml:space="preserve">You can visit the </w:t>
      </w:r>
      <w:proofErr w:type="spellStart"/>
      <w:r w:rsidRPr="00117129">
        <w:t>AusTender</w:t>
      </w:r>
      <w:proofErr w:type="spellEnd"/>
      <w:r w:rsidRPr="00117129">
        <w:t xml:space="preserve"> website (</w:t>
      </w:r>
      <w:hyperlink r:id="rId23" w:history="1">
        <w:r w:rsidRPr="00117129">
          <w:rPr>
            <w:rStyle w:val="Hyperlink"/>
            <w:rFonts w:cstheme="minorBidi"/>
          </w:rPr>
          <w:t>tenders.gov.au</w:t>
        </w:r>
      </w:hyperlink>
      <w:r w:rsidRPr="00117129">
        <w:t xml:space="preserve">) to download a current ATM document – you will need to register </w:t>
      </w:r>
      <w:r w:rsidR="00E87F63">
        <w:t xml:space="preserve">for </w:t>
      </w:r>
      <w:r w:rsidRPr="00117129">
        <w:t xml:space="preserve">an account beforehand. </w:t>
      </w:r>
    </w:p>
    <w:p w14:paraId="2DE46AB7" w14:textId="77777777" w:rsidR="00A623D6" w:rsidRPr="00117129" w:rsidRDefault="00A623D6" w:rsidP="00D26B17">
      <w:pPr>
        <w:pStyle w:val="Boxed3Text"/>
        <w:numPr>
          <w:ilvl w:val="0"/>
          <w:numId w:val="11"/>
        </w:numPr>
      </w:pPr>
      <w:proofErr w:type="spellStart"/>
      <w:r w:rsidRPr="00117129">
        <w:t>AusTender’s</w:t>
      </w:r>
      <w:proofErr w:type="spellEnd"/>
      <w:r w:rsidRPr="00117129">
        <w:t xml:space="preserve"> Help and Information Centre (</w:t>
      </w:r>
      <w:hyperlink r:id="rId24" w:history="1">
        <w:r w:rsidRPr="00117129">
          <w:rPr>
            <w:rStyle w:val="Hyperlink"/>
            <w:rFonts w:cstheme="minorBidi"/>
          </w:rPr>
          <w:t>help.tenders.gov.au</w:t>
        </w:r>
      </w:hyperlink>
      <w:r w:rsidRPr="00117129">
        <w:t>) also lets you practice lodging a response and provides a helpful checklist to assist you with your preparation.</w:t>
      </w:r>
    </w:p>
    <w:p w14:paraId="67A10FDF" w14:textId="1A27CEFB" w:rsidR="00D46C7E" w:rsidRPr="003F5B33" w:rsidRDefault="00A623D6" w:rsidP="4B6BC10A">
      <w:pPr>
        <w:pStyle w:val="Boxed3Text"/>
        <w:numPr>
          <w:ilvl w:val="0"/>
          <w:numId w:val="11"/>
        </w:numPr>
        <w:rPr>
          <w:rFonts w:asciiTheme="majorHAnsi" w:eastAsiaTheme="majorEastAsia" w:hAnsiTheme="majorHAnsi" w:cstheme="majorBidi"/>
          <w:color w:val="265659" w:themeColor="text2"/>
          <w:sz w:val="34"/>
          <w:szCs w:val="34"/>
        </w:rPr>
      </w:pPr>
      <w:r>
        <w:t>This may be good practice before responding to an ATM you are interested in as you can get an idea of what you may be asked to provide and how long it might take to complete.</w:t>
      </w:r>
      <w:r w:rsidR="74DB573B">
        <w:t xml:space="preserve"> </w:t>
      </w:r>
      <w:r>
        <w:br w:type="page"/>
      </w:r>
    </w:p>
    <w:p w14:paraId="7D4498A4" w14:textId="1286EA20" w:rsidR="00117129" w:rsidRPr="00D46C7E" w:rsidRDefault="00117129" w:rsidP="00E3484D">
      <w:pPr>
        <w:pStyle w:val="Heading1"/>
      </w:pPr>
      <w:bookmarkStart w:id="24" w:name="_Toc155860435"/>
      <w:r w:rsidRPr="00D46C7E">
        <w:lastRenderedPageBreak/>
        <w:t>Procurement Connected Polices</w:t>
      </w:r>
      <w:bookmarkEnd w:id="24"/>
    </w:p>
    <w:p w14:paraId="11B19068" w14:textId="4A238335" w:rsidR="00117129" w:rsidRPr="00117129" w:rsidRDefault="00117129" w:rsidP="009D2CDD">
      <w:pPr>
        <w:pStyle w:val="Boxed1Text"/>
      </w:pPr>
      <w:r>
        <w:t xml:space="preserve">There are </w:t>
      </w:r>
      <w:r w:rsidR="4481C457">
        <w:t>several</w:t>
      </w:r>
      <w:r>
        <w:t xml:space="preserve"> Australian Government Procurement Connected Policies (PCPs) that place minimum requirements on businesses responding to tenders. </w:t>
      </w:r>
    </w:p>
    <w:p w14:paraId="63FDAADD" w14:textId="77777777" w:rsidR="00117129" w:rsidRPr="00C64F9B" w:rsidRDefault="00117129" w:rsidP="009D2CDD">
      <w:pPr>
        <w:pStyle w:val="Boxed1Text"/>
      </w:pPr>
      <w:r w:rsidRPr="00C64F9B">
        <w:t xml:space="preserve">Where these policies are relevant, the related requirements will be clearly outlined in tender documentation. </w:t>
      </w:r>
    </w:p>
    <w:p w14:paraId="1BEA2970" w14:textId="3F12FE79" w:rsidR="00117129" w:rsidRPr="00C64F9B" w:rsidRDefault="00117129" w:rsidP="009D2CDD">
      <w:pPr>
        <w:pStyle w:val="Boxed1Text"/>
      </w:pPr>
      <w:r w:rsidRPr="00C64F9B">
        <w:t>There are typically thresholds relating to contract value or business size that determine whether a policy applies.</w:t>
      </w:r>
    </w:p>
    <w:p w14:paraId="3CC4C78D" w14:textId="50019425" w:rsidR="005472D7" w:rsidRDefault="005472D7" w:rsidP="00E3484D">
      <w:pPr>
        <w:pStyle w:val="Heading2"/>
      </w:pPr>
      <w:bookmarkStart w:id="25" w:name="_Toc155860436"/>
      <w:r w:rsidRPr="005472D7">
        <w:t>PCPs that may be relevant to your business</w:t>
      </w:r>
      <w:bookmarkEnd w:id="25"/>
    </w:p>
    <w:p w14:paraId="01F8F8A0" w14:textId="77777777" w:rsidR="00E16257" w:rsidRPr="009D2CDD" w:rsidRDefault="00E16257" w:rsidP="00E16257">
      <w:pPr>
        <w:pStyle w:val="Heading3"/>
      </w:pPr>
      <w:r w:rsidRPr="009D2CDD">
        <w:t>Australian Industry Participation</w:t>
      </w:r>
    </w:p>
    <w:p w14:paraId="4766B2F2" w14:textId="1931049A" w:rsidR="00E16257" w:rsidRPr="0073377A" w:rsidRDefault="00E16257" w:rsidP="00E16257">
      <w:pPr>
        <w:rPr>
          <w:bCs/>
        </w:rPr>
      </w:pPr>
      <w:r w:rsidRPr="0073377A">
        <w:rPr>
          <w:bCs/>
        </w:rPr>
        <w:t xml:space="preserve">Applies to suppliers with contracts valued </w:t>
      </w:r>
      <w:r w:rsidR="00077B28">
        <w:rPr>
          <w:bCs/>
        </w:rPr>
        <w:t xml:space="preserve">at </w:t>
      </w:r>
      <w:r w:rsidRPr="0073377A">
        <w:rPr>
          <w:bCs/>
        </w:rPr>
        <w:t>$20 million or more.</w:t>
      </w:r>
    </w:p>
    <w:p w14:paraId="60D8DA67" w14:textId="77777777" w:rsidR="00E16257" w:rsidRDefault="00E16257" w:rsidP="00E16257">
      <w:pPr>
        <w:pStyle w:val="Heading3"/>
        <w:rPr>
          <w:lang w:val="en-AU"/>
        </w:rPr>
      </w:pPr>
      <w:r w:rsidRPr="105E757A">
        <w:rPr>
          <w:lang w:val="en-AU"/>
        </w:rPr>
        <w:t>Australian Skills Guarantee</w:t>
      </w:r>
    </w:p>
    <w:p w14:paraId="48CE301E" w14:textId="5D1F203F" w:rsidR="001669C7" w:rsidRDefault="00E16257" w:rsidP="00E16257">
      <w:r w:rsidRPr="105E757A">
        <w:t xml:space="preserve">National targets for apprentices, trainees, paid cadets, and women on </w:t>
      </w:r>
      <w:r w:rsidR="00A03ABD">
        <w:t xml:space="preserve">relevant Australian Government </w:t>
      </w:r>
      <w:r w:rsidRPr="105E757A">
        <w:t xml:space="preserve">procurements. </w:t>
      </w:r>
    </w:p>
    <w:p w14:paraId="7A3F8C6A" w14:textId="22ABDF39" w:rsidR="00E16257" w:rsidRDefault="001669C7" w:rsidP="00E16257">
      <w:r>
        <w:t>Targets</w:t>
      </w:r>
      <w:r w:rsidR="00A03ABD">
        <w:t xml:space="preserve"> </w:t>
      </w:r>
      <w:r w:rsidR="00E16257" w:rsidRPr="105E757A">
        <w:t xml:space="preserve">will apply to new </w:t>
      </w:r>
      <w:r w:rsidR="00E16257">
        <w:t>Australian Government procurement</w:t>
      </w:r>
      <w:r w:rsidR="00E16257" w:rsidRPr="105E757A">
        <w:t xml:space="preserve"> processes for major building and construction and maintenance services (construction) and information and communications technology (ICT) procurements with a total contract value of $10 million or more.</w:t>
      </w:r>
    </w:p>
    <w:p w14:paraId="6609CC51" w14:textId="3FEE1B0C" w:rsidR="005A182D" w:rsidRDefault="005A182D" w:rsidP="005A182D">
      <w:pPr>
        <w:pStyle w:val="Heading3"/>
      </w:pPr>
      <w:r>
        <w:t>Environmentally Sustainable Procurement Policy</w:t>
      </w:r>
    </w:p>
    <w:p w14:paraId="1BF4B95E" w14:textId="50AA1924" w:rsidR="005A182D" w:rsidRPr="00DA7A24" w:rsidRDefault="005A182D" w:rsidP="00E24669">
      <w:r>
        <w:rPr>
          <w:lang w:val="en-US"/>
        </w:rPr>
        <w:t xml:space="preserve">Applies to suppliers with </w:t>
      </w:r>
      <w:r w:rsidR="00DA7A24">
        <w:rPr>
          <w:lang w:val="en-US"/>
        </w:rPr>
        <w:t xml:space="preserve">construction services contracts </w:t>
      </w:r>
      <w:r w:rsidR="00A21201">
        <w:rPr>
          <w:lang w:val="en-US"/>
        </w:rPr>
        <w:t>va</w:t>
      </w:r>
      <w:r w:rsidR="000076BA">
        <w:rPr>
          <w:lang w:val="en-US"/>
        </w:rPr>
        <w:t xml:space="preserve">lued at or above $7.5 million </w:t>
      </w:r>
      <w:r w:rsidR="00407593">
        <w:rPr>
          <w:lang w:val="en-US"/>
        </w:rPr>
        <w:t>from 1 July 2024, and furniture, ICT goods and textiles at or above $</w:t>
      </w:r>
      <w:r w:rsidR="004C38D0">
        <w:rPr>
          <w:lang w:val="en-US"/>
        </w:rPr>
        <w:t>1 million from 1 July 2025.</w:t>
      </w:r>
    </w:p>
    <w:p w14:paraId="25B94527" w14:textId="24DA4EB2" w:rsidR="005A182D" w:rsidRPr="009D2CDD" w:rsidRDefault="005A182D" w:rsidP="005A182D">
      <w:pPr>
        <w:pStyle w:val="Heading3"/>
      </w:pPr>
      <w:r w:rsidRPr="009D2CDD">
        <w:t>Indigenous Procurement Policy</w:t>
      </w:r>
    </w:p>
    <w:p w14:paraId="4F9EA39D" w14:textId="54A2787D" w:rsidR="005A182D" w:rsidRDefault="005A182D" w:rsidP="005A182D">
      <w:r>
        <w:t xml:space="preserve">Minimum Indigenous participation requirements for suppliers with contracts valued over </w:t>
      </w:r>
      <w:r w:rsidR="00C84DBA">
        <w:br/>
      </w:r>
      <w:r>
        <w:t>$7.5 million in certain sectors.</w:t>
      </w:r>
    </w:p>
    <w:p w14:paraId="6962E751" w14:textId="77777777" w:rsidR="005472D7" w:rsidRPr="009D2CDD" w:rsidRDefault="005472D7" w:rsidP="00E3484D">
      <w:pPr>
        <w:pStyle w:val="Heading3"/>
      </w:pPr>
      <w:r w:rsidRPr="009D2CDD">
        <w:t>Payment Times PCP</w:t>
      </w:r>
    </w:p>
    <w:p w14:paraId="1C58E1DB" w14:textId="09A53B94" w:rsidR="005472D7" w:rsidRPr="0073377A" w:rsidRDefault="005472D7" w:rsidP="0073377A">
      <w:pPr>
        <w:rPr>
          <w:bCs/>
        </w:rPr>
      </w:pPr>
      <w:r w:rsidRPr="0073377A">
        <w:rPr>
          <w:bCs/>
        </w:rPr>
        <w:t>Applicable to large businesses awarded contracts valued over $4 million.</w:t>
      </w:r>
    </w:p>
    <w:p w14:paraId="586A7BDF" w14:textId="77777777" w:rsidR="005A182D" w:rsidRPr="009D2CDD" w:rsidRDefault="005A182D" w:rsidP="005A182D">
      <w:pPr>
        <w:pStyle w:val="Heading3"/>
      </w:pPr>
      <w:r w:rsidRPr="009D2CDD">
        <w:lastRenderedPageBreak/>
        <w:t>Shadow Economy</w:t>
      </w:r>
      <w:r>
        <w:t xml:space="preserve"> PCP</w:t>
      </w:r>
    </w:p>
    <w:p w14:paraId="3265777C" w14:textId="77777777" w:rsidR="00C23BBA" w:rsidRDefault="00C23BBA" w:rsidP="005A182D">
      <w:pPr>
        <w:pStyle w:val="Heading3"/>
        <w:rPr>
          <w:rFonts w:asciiTheme="minorHAnsi" w:eastAsiaTheme="minorHAnsi" w:hAnsiTheme="minorHAnsi" w:cstheme="minorBidi"/>
          <w:color w:val="auto"/>
          <w:sz w:val="22"/>
          <w:szCs w:val="22"/>
          <w:lang w:val="en-AU"/>
        </w:rPr>
      </w:pPr>
    </w:p>
    <w:p w14:paraId="538F445B" w14:textId="241AC788" w:rsidR="00DA5471" w:rsidRDefault="00C046FE" w:rsidP="005A182D">
      <w:pPr>
        <w:pStyle w:val="Heading3"/>
        <w:rPr>
          <w:rFonts w:asciiTheme="minorHAnsi" w:eastAsiaTheme="minorHAnsi" w:hAnsiTheme="minorHAnsi" w:cstheme="minorBidi"/>
          <w:color w:val="auto"/>
          <w:sz w:val="22"/>
          <w:szCs w:val="22"/>
          <w:lang w:val="en-AU"/>
        </w:rPr>
      </w:pPr>
      <w:r w:rsidRPr="00C046FE">
        <w:rPr>
          <w:rFonts w:asciiTheme="minorHAnsi" w:eastAsiaTheme="minorHAnsi" w:hAnsiTheme="minorHAnsi" w:cstheme="minorBidi"/>
          <w:color w:val="auto"/>
          <w:sz w:val="22"/>
          <w:szCs w:val="22"/>
          <w:lang w:val="en-AU"/>
        </w:rPr>
        <w:t xml:space="preserve">Shadow Economy PCP Businesses tendering for contracts as part of Australian Government procurements valued at $4 million or more (GST inclusive) are required to provide all Statements of Tax Record for their entity type from the ATO showing they have a satisfactory tax record. </w:t>
      </w:r>
    </w:p>
    <w:p w14:paraId="7DCFE5C5" w14:textId="77777777" w:rsidR="00DA5471" w:rsidRDefault="00DA5471" w:rsidP="005A182D">
      <w:pPr>
        <w:pStyle w:val="Heading3"/>
        <w:rPr>
          <w:rFonts w:asciiTheme="minorHAnsi" w:eastAsiaTheme="minorHAnsi" w:hAnsiTheme="minorHAnsi" w:cstheme="minorBidi"/>
          <w:color w:val="auto"/>
          <w:sz w:val="22"/>
          <w:szCs w:val="22"/>
          <w:lang w:val="en-AU"/>
        </w:rPr>
      </w:pPr>
    </w:p>
    <w:p w14:paraId="2CFC64A9" w14:textId="3A3E29A1" w:rsidR="00C046FE" w:rsidRDefault="00C046FE" w:rsidP="005A182D">
      <w:pPr>
        <w:pStyle w:val="Heading3"/>
        <w:rPr>
          <w:rFonts w:asciiTheme="minorHAnsi" w:eastAsiaTheme="minorHAnsi" w:hAnsiTheme="minorHAnsi" w:cstheme="minorBidi"/>
          <w:color w:val="auto"/>
          <w:sz w:val="22"/>
          <w:szCs w:val="22"/>
          <w:lang w:val="en-AU"/>
        </w:rPr>
      </w:pPr>
      <w:r w:rsidRPr="00C046FE">
        <w:rPr>
          <w:rFonts w:asciiTheme="minorHAnsi" w:eastAsiaTheme="minorHAnsi" w:hAnsiTheme="minorHAnsi" w:cstheme="minorBidi"/>
          <w:color w:val="auto"/>
          <w:sz w:val="22"/>
          <w:szCs w:val="22"/>
          <w:lang w:val="en-AU"/>
        </w:rPr>
        <w:t xml:space="preserve">Note: this requirement is often included in ATMs to establish or refresh panel arrangements. </w:t>
      </w:r>
    </w:p>
    <w:p w14:paraId="659278A0" w14:textId="77777777" w:rsidR="00C046FE" w:rsidRDefault="00C046FE" w:rsidP="005A182D">
      <w:pPr>
        <w:pStyle w:val="Heading3"/>
        <w:rPr>
          <w:rFonts w:asciiTheme="minorHAnsi" w:eastAsiaTheme="minorHAnsi" w:hAnsiTheme="minorHAnsi" w:cstheme="minorBidi"/>
          <w:color w:val="auto"/>
          <w:sz w:val="22"/>
          <w:szCs w:val="22"/>
          <w:lang w:val="en-AU"/>
        </w:rPr>
      </w:pPr>
    </w:p>
    <w:p w14:paraId="4B52695B" w14:textId="69AE7A30" w:rsidR="005A182D" w:rsidRPr="009D2CDD" w:rsidRDefault="005A182D" w:rsidP="005A182D">
      <w:pPr>
        <w:pStyle w:val="Heading3"/>
      </w:pPr>
      <w:r w:rsidRPr="009D2CDD">
        <w:t>Workplace Gender Equality Procurement Principles</w:t>
      </w:r>
    </w:p>
    <w:p w14:paraId="33A0B35B" w14:textId="77777777" w:rsidR="005A182D" w:rsidRPr="0073377A" w:rsidRDefault="005A182D" w:rsidP="005A182D">
      <w:pPr>
        <w:rPr>
          <w:bCs/>
        </w:rPr>
      </w:pPr>
      <w:r w:rsidRPr="0073377A">
        <w:rPr>
          <w:bCs/>
        </w:rPr>
        <w:t>Businesses with 100 or more employees in Australia must supply a letter of compliance if the procurement exceeds the thresholds outlined in the CPRs.</w:t>
      </w:r>
    </w:p>
    <w:p w14:paraId="370D8818" w14:textId="77777777" w:rsidR="005A182D" w:rsidRPr="00F34834" w:rsidRDefault="005A182D" w:rsidP="005A182D">
      <w:pPr>
        <w:rPr>
          <w:i/>
        </w:rPr>
      </w:pPr>
      <w:r w:rsidRPr="0073377A">
        <w:rPr>
          <w:bCs/>
        </w:rPr>
        <w:t xml:space="preserve">Letters of compliance are issued by the Workplace Gender Equality Agency and demonstrate that the entity complies with requirements under the </w:t>
      </w:r>
      <w:r w:rsidRPr="00F34834">
        <w:rPr>
          <w:i/>
        </w:rPr>
        <w:t>Workplace Gender Equality Act 2012.</w:t>
      </w:r>
    </w:p>
    <w:p w14:paraId="77970EE4" w14:textId="56BE5F5C" w:rsidR="105E757A" w:rsidRDefault="105E757A" w:rsidP="105E757A"/>
    <w:p w14:paraId="1C715EA7" w14:textId="27173E09" w:rsidR="00077382" w:rsidRDefault="00270A42" w:rsidP="00CA67A9">
      <w:pPr>
        <w:pStyle w:val="Boxed3Text"/>
      </w:pPr>
      <w:r>
        <w:t>D</w:t>
      </w:r>
      <w:r w:rsidR="00077382">
        <w:t>etail</w:t>
      </w:r>
      <w:r w:rsidR="0047375E">
        <w:t>ed</w:t>
      </w:r>
      <w:r w:rsidR="00077382">
        <w:t xml:space="preserve"> </w:t>
      </w:r>
      <w:r w:rsidR="007D234A">
        <w:t>information on each PCP</w:t>
      </w:r>
      <w:r w:rsidR="00077382">
        <w:t xml:space="preserve"> and what minimum requirements they place on businesses responding to tenders</w:t>
      </w:r>
      <w:r>
        <w:t xml:space="preserve"> is available on the </w:t>
      </w:r>
      <w:hyperlink r:id="rId25" w:history="1">
        <w:r w:rsidR="00BF2475">
          <w:rPr>
            <w:rStyle w:val="Hyperlink"/>
            <w:rFonts w:cstheme="minorBidi"/>
          </w:rPr>
          <w:t>minimum requirements</w:t>
        </w:r>
      </w:hyperlink>
      <w:r w:rsidR="00BF2475">
        <w:t xml:space="preserve"> section of the Selling to Government</w:t>
      </w:r>
      <w:r>
        <w:t xml:space="preserve"> website</w:t>
      </w:r>
      <w:r w:rsidR="0092670C">
        <w:t>.</w:t>
      </w:r>
      <w:r w:rsidR="003F5B33">
        <w:br w:type="page"/>
      </w:r>
    </w:p>
    <w:p w14:paraId="21939E39" w14:textId="423C93B1" w:rsidR="009E0E1D" w:rsidRPr="00BB2D63" w:rsidRDefault="00186B15" w:rsidP="00E3484D">
      <w:pPr>
        <w:pStyle w:val="Heading1"/>
      </w:pPr>
      <w:bookmarkStart w:id="26" w:name="_Toc155860437"/>
      <w:r w:rsidRPr="00BB2D63">
        <w:lastRenderedPageBreak/>
        <w:t>Responding</w:t>
      </w:r>
      <w:r w:rsidR="00655917" w:rsidRPr="00BB2D63">
        <w:t xml:space="preserve"> to an</w:t>
      </w:r>
      <w:r w:rsidR="009E0E1D" w:rsidRPr="00BB2D63">
        <w:t xml:space="preserve"> </w:t>
      </w:r>
      <w:r w:rsidR="00655917" w:rsidRPr="00BB2D63">
        <w:t>ATM</w:t>
      </w:r>
      <w:bookmarkEnd w:id="26"/>
    </w:p>
    <w:p w14:paraId="3339A5E4" w14:textId="5AE6A0CE" w:rsidR="003726A7" w:rsidRDefault="003726A7" w:rsidP="00E3484D">
      <w:pPr>
        <w:pStyle w:val="Heading2"/>
      </w:pPr>
      <w:bookmarkStart w:id="27" w:name="_Toc155860438"/>
      <w:r>
        <w:t xml:space="preserve">Steps for </w:t>
      </w:r>
      <w:r w:rsidR="0000096F">
        <w:t xml:space="preserve">how to </w:t>
      </w:r>
      <w:r>
        <w:t>respond to an ATM</w:t>
      </w:r>
      <w:bookmarkEnd w:id="27"/>
    </w:p>
    <w:p w14:paraId="459DE209" w14:textId="335819D4" w:rsidR="003726A7" w:rsidRPr="00FE037F" w:rsidRDefault="003726A7" w:rsidP="00E3484D">
      <w:pPr>
        <w:pStyle w:val="Heading3"/>
        <w:numPr>
          <w:ilvl w:val="6"/>
          <w:numId w:val="1"/>
        </w:numPr>
      </w:pPr>
      <w:r w:rsidRPr="00FE037F">
        <w:t>Review the ATM carefully</w:t>
      </w:r>
      <w:r w:rsidR="003D76D1" w:rsidRPr="00FE037F">
        <w:t>.</w:t>
      </w:r>
    </w:p>
    <w:p w14:paraId="54F554AD" w14:textId="1E5A4BD9" w:rsidR="003726A7" w:rsidRDefault="003726A7" w:rsidP="007456DC">
      <w:pPr>
        <w:pStyle w:val="Bullet1"/>
      </w:pPr>
      <w:r>
        <w:t>Each ATM is different so read the instructions and requirements carefully. Ask any clarifying questions you need to the procurement officer listed as the contact.</w:t>
      </w:r>
    </w:p>
    <w:p w14:paraId="62BE4FC8" w14:textId="104A6A22" w:rsidR="003726A7" w:rsidRDefault="003726A7" w:rsidP="007456DC">
      <w:pPr>
        <w:pStyle w:val="Bullet1"/>
      </w:pPr>
      <w:r>
        <w:t xml:space="preserve">Note the closing date </w:t>
      </w:r>
      <w:r w:rsidR="00CA6981">
        <w:t>–</w:t>
      </w:r>
      <w:r>
        <w:t xml:space="preserve"> you must meet the deadline as late tenders will not be accepted.</w:t>
      </w:r>
    </w:p>
    <w:p w14:paraId="3A078AD1" w14:textId="6C406BA3" w:rsidR="003726A7" w:rsidRDefault="003726A7" w:rsidP="007456DC">
      <w:pPr>
        <w:pStyle w:val="Bullet1"/>
      </w:pPr>
      <w:r>
        <w:t xml:space="preserve">Understand what goods / services are requested and any required timeframes for delivery. </w:t>
      </w:r>
    </w:p>
    <w:p w14:paraId="4E6541A0" w14:textId="0BC7DB79" w:rsidR="003726A7" w:rsidRDefault="003726A7" w:rsidP="007456DC">
      <w:pPr>
        <w:pStyle w:val="Bullet1"/>
      </w:pPr>
      <w:r>
        <w:t>Understand if there are any minimum requirements and conditions for participation.</w:t>
      </w:r>
    </w:p>
    <w:p w14:paraId="1D937ED4" w14:textId="615EDE6E" w:rsidR="003726A7" w:rsidRPr="00FE037F" w:rsidRDefault="003726A7" w:rsidP="00E3484D">
      <w:pPr>
        <w:pStyle w:val="Heading3"/>
        <w:numPr>
          <w:ilvl w:val="6"/>
          <w:numId w:val="62"/>
        </w:numPr>
      </w:pPr>
      <w:r w:rsidRPr="00FE037F">
        <w:t>Prepare documents needed to meet minimum requirements and conditions of participation</w:t>
      </w:r>
      <w:r w:rsidR="003D76D1" w:rsidRPr="00FE037F">
        <w:t>.</w:t>
      </w:r>
    </w:p>
    <w:p w14:paraId="3E754D7A" w14:textId="793044DC" w:rsidR="003726A7" w:rsidRDefault="003726A7" w:rsidP="007456DC">
      <w:pPr>
        <w:pStyle w:val="Bullet1"/>
      </w:pPr>
      <w:r>
        <w:t>In some instances, you can prepare documents to meet common minimum requirements well before closing dates or even before you start a tender application.</w:t>
      </w:r>
    </w:p>
    <w:p w14:paraId="352A1F95" w14:textId="4F0DA312" w:rsidR="003726A7" w:rsidRDefault="003726A7" w:rsidP="007456DC">
      <w:pPr>
        <w:pStyle w:val="Bullet1"/>
      </w:pPr>
      <w:r>
        <w:t>For example, for certain tenders, you may be required to submit a Statement of Tax Record, which you can obtain before a tender process begins.</w:t>
      </w:r>
    </w:p>
    <w:p w14:paraId="2C0A5DF0" w14:textId="385BE8FF" w:rsidR="003726A7" w:rsidRPr="00FE037F" w:rsidRDefault="003726A7" w:rsidP="00E3484D">
      <w:pPr>
        <w:pStyle w:val="Heading3"/>
        <w:numPr>
          <w:ilvl w:val="6"/>
          <w:numId w:val="63"/>
        </w:numPr>
      </w:pPr>
      <w:r w:rsidRPr="00FE037F">
        <w:t>Determine your responses to the evaluation criteria</w:t>
      </w:r>
      <w:r w:rsidR="003D76D1" w:rsidRPr="00FE037F">
        <w:t>.</w:t>
      </w:r>
    </w:p>
    <w:p w14:paraId="24C28C9E" w14:textId="746F5151" w:rsidR="003726A7" w:rsidRDefault="003726A7" w:rsidP="007456DC">
      <w:pPr>
        <w:pStyle w:val="Bullet1"/>
      </w:pPr>
      <w:r>
        <w:t>Meeting evaluation criteria is critical to competitively responding to a tender and demonstrates your ability to deliver the proposed work. Buyers assess each supplier’s tender response against these requirements.</w:t>
      </w:r>
    </w:p>
    <w:p w14:paraId="5699475D" w14:textId="0CC51EA5" w:rsidR="003726A7" w:rsidRDefault="003726A7" w:rsidP="007456DC">
      <w:pPr>
        <w:pStyle w:val="Bullet1"/>
      </w:pPr>
      <w:r>
        <w:t>Criteria will vary for each tender. Some commonly used criteria may ask you to demonstrate an ability to provide the requested goods / services, ability to manage risk, pricing, and compliance with stated contract conditions.</w:t>
      </w:r>
    </w:p>
    <w:p w14:paraId="29E4014E" w14:textId="2A3756D1" w:rsidR="00FE037F" w:rsidRDefault="003726A7" w:rsidP="00E3484D">
      <w:pPr>
        <w:pStyle w:val="Heading3"/>
        <w:numPr>
          <w:ilvl w:val="6"/>
          <w:numId w:val="64"/>
        </w:numPr>
      </w:pPr>
      <w:r w:rsidRPr="00FE037F">
        <w:t>Make sure you meet the deadline and submit your response in the format requested, with the required documentation, before the closing date.</w:t>
      </w:r>
      <w:r w:rsidR="00F81E5F" w:rsidRPr="00FE037F">
        <w:t xml:space="preserve"> </w:t>
      </w:r>
      <w:r w:rsidR="00FE037F">
        <w:br w:type="page"/>
      </w:r>
    </w:p>
    <w:p w14:paraId="7B6A09E9" w14:textId="77777777" w:rsidR="007F3825" w:rsidRDefault="00C82934" w:rsidP="00C65E46">
      <w:pPr>
        <w:pStyle w:val="Boxed3Text"/>
        <w:rPr>
          <w:b/>
          <w:bCs/>
        </w:rPr>
      </w:pPr>
      <w:r w:rsidRPr="00CA09B9">
        <w:rPr>
          <w:b/>
          <w:bCs/>
        </w:rPr>
        <w:lastRenderedPageBreak/>
        <w:t xml:space="preserve">REMINDER: </w:t>
      </w:r>
    </w:p>
    <w:p w14:paraId="0AB5F64C" w14:textId="232D6735" w:rsidR="007F3825" w:rsidRDefault="00254293" w:rsidP="00C65E46">
      <w:pPr>
        <w:pStyle w:val="Boxed3Text"/>
      </w:pPr>
      <w:r w:rsidRPr="000642A4">
        <w:t xml:space="preserve">When determining your value for money proposition, remember it is not </w:t>
      </w:r>
      <w:r w:rsidR="00C76EA5" w:rsidRPr="000642A4">
        <w:t>just about cost</w:t>
      </w:r>
      <w:r w:rsidR="009B6573" w:rsidRPr="000F7EE1">
        <w:t>.</w:t>
      </w:r>
    </w:p>
    <w:p w14:paraId="6936222C" w14:textId="0236C87C" w:rsidR="002A0CA3" w:rsidRPr="002A0CA3" w:rsidRDefault="002A0CA3" w:rsidP="00C65E46">
      <w:pPr>
        <w:pStyle w:val="Boxed3Text"/>
      </w:pPr>
      <w:r w:rsidRPr="002A0CA3">
        <w:t>Buyers must consider the relevant financial and non-financial aspects of each quote or tender response, including, but not limited to:</w:t>
      </w:r>
    </w:p>
    <w:p w14:paraId="5CC9EA05" w14:textId="77777777" w:rsidR="002A0CA3" w:rsidRPr="002A0CA3" w:rsidRDefault="002A0CA3" w:rsidP="007456DC">
      <w:pPr>
        <w:pStyle w:val="Boxed3Text"/>
        <w:numPr>
          <w:ilvl w:val="0"/>
          <w:numId w:val="61"/>
        </w:numPr>
        <w:spacing w:before="120"/>
        <w:ind w:left="641" w:hanging="357"/>
      </w:pPr>
      <w:r w:rsidRPr="002A0CA3">
        <w:t>quality of the goods and services</w:t>
      </w:r>
    </w:p>
    <w:p w14:paraId="49239B35" w14:textId="77777777" w:rsidR="002A0CA3" w:rsidRPr="002A0CA3" w:rsidRDefault="002A0CA3" w:rsidP="007456DC">
      <w:pPr>
        <w:pStyle w:val="Boxed3Text"/>
        <w:numPr>
          <w:ilvl w:val="0"/>
          <w:numId w:val="61"/>
        </w:numPr>
        <w:spacing w:before="120"/>
        <w:ind w:left="641" w:hanging="357"/>
      </w:pPr>
      <w:r w:rsidRPr="002A0CA3">
        <w:t>fitness for purpose of the proposal</w:t>
      </w:r>
    </w:p>
    <w:p w14:paraId="76060E7A" w14:textId="77777777" w:rsidR="002A0CA3" w:rsidRPr="002A0CA3" w:rsidRDefault="002A0CA3" w:rsidP="007456DC">
      <w:pPr>
        <w:pStyle w:val="Boxed3Text"/>
        <w:numPr>
          <w:ilvl w:val="0"/>
          <w:numId w:val="61"/>
        </w:numPr>
        <w:spacing w:before="120"/>
        <w:ind w:left="641" w:hanging="357"/>
      </w:pPr>
      <w:r w:rsidRPr="002A0CA3">
        <w:t>potential supplier’s relevant experience and performance history</w:t>
      </w:r>
    </w:p>
    <w:p w14:paraId="6166506F" w14:textId="77777777" w:rsidR="002A0CA3" w:rsidRPr="002A0CA3" w:rsidRDefault="002A0CA3" w:rsidP="007456DC">
      <w:pPr>
        <w:pStyle w:val="Boxed3Text"/>
        <w:numPr>
          <w:ilvl w:val="0"/>
          <w:numId w:val="61"/>
        </w:numPr>
        <w:spacing w:before="120"/>
        <w:ind w:left="641" w:hanging="357"/>
      </w:pPr>
      <w:r w:rsidRPr="002A0CA3">
        <w:t>flexibility of the proposal (including innovation and adaptability over the lifecycle of the procurement)</w:t>
      </w:r>
    </w:p>
    <w:p w14:paraId="2D28A4BE" w14:textId="369F648D" w:rsidR="002A0CA3" w:rsidRPr="002A0CA3" w:rsidRDefault="002A0CA3" w:rsidP="007456DC">
      <w:pPr>
        <w:pStyle w:val="Boxed3Text"/>
        <w:numPr>
          <w:ilvl w:val="0"/>
          <w:numId w:val="61"/>
        </w:numPr>
        <w:spacing w:before="120"/>
        <w:ind w:left="641" w:hanging="357"/>
      </w:pPr>
      <w:r w:rsidRPr="002A0CA3">
        <w:t xml:space="preserve">environmental sustainability of the proposed goods and services (such as energy efficiency, </w:t>
      </w:r>
      <w:r w:rsidR="009C47C2">
        <w:rPr>
          <w:rStyle w:val="ui-provider"/>
        </w:rPr>
        <w:t>climate change impact, environmental impact, circularity of the goods and services and use of recycled materials</w:t>
      </w:r>
      <w:r w:rsidRPr="002A0CA3">
        <w:t>)</w:t>
      </w:r>
    </w:p>
    <w:p w14:paraId="47E468AB" w14:textId="0B44CE84" w:rsidR="002A0CA3" w:rsidRPr="002A0CA3" w:rsidRDefault="002A0CA3" w:rsidP="007456DC">
      <w:pPr>
        <w:pStyle w:val="Boxed3Text"/>
        <w:numPr>
          <w:ilvl w:val="0"/>
          <w:numId w:val="61"/>
        </w:numPr>
        <w:spacing w:before="120"/>
        <w:ind w:left="641" w:hanging="357"/>
      </w:pPr>
      <w:r w:rsidRPr="002A0CA3">
        <w:t>whole-of-life costs, which could include initial purchase price, maintenance, operating, and transition out costs.</w:t>
      </w:r>
    </w:p>
    <w:p w14:paraId="1CC905A1" w14:textId="77777777" w:rsidR="00C65E46" w:rsidRPr="00C65E46" w:rsidRDefault="00C65E46" w:rsidP="00C65E46">
      <w:pPr>
        <w:spacing w:before="0" w:after="0"/>
        <w:rPr>
          <w:sz w:val="2"/>
          <w:szCs w:val="2"/>
        </w:rPr>
      </w:pPr>
    </w:p>
    <w:p w14:paraId="576DD852" w14:textId="77777777" w:rsidR="007F3825" w:rsidRDefault="000E78EA" w:rsidP="000E78EA">
      <w:pPr>
        <w:pStyle w:val="Boxed3Text"/>
        <w:rPr>
          <w:b/>
        </w:rPr>
      </w:pPr>
      <w:r w:rsidRPr="00BB2D63">
        <w:rPr>
          <w:b/>
          <w:bCs/>
        </w:rPr>
        <w:t>TIPS:</w:t>
      </w:r>
      <w:r w:rsidRPr="00C65E46">
        <w:rPr>
          <w:b/>
        </w:rPr>
        <w:t xml:space="preserve"> </w:t>
      </w:r>
    </w:p>
    <w:p w14:paraId="2254D772" w14:textId="233C3299" w:rsidR="00FC5552" w:rsidRPr="00C65E46" w:rsidRDefault="004F29BC" w:rsidP="000E78EA">
      <w:pPr>
        <w:pStyle w:val="Boxed3Text"/>
        <w:rPr>
          <w:b/>
        </w:rPr>
      </w:pPr>
      <w:r w:rsidRPr="008C00E7">
        <w:t>Important things to keep in mind for all ATMs</w:t>
      </w:r>
      <w:r w:rsidR="00C65E46">
        <w:t>:</w:t>
      </w:r>
    </w:p>
    <w:p w14:paraId="1523BCF3" w14:textId="2D0296D3" w:rsidR="004F29BC" w:rsidRPr="004F29BC" w:rsidRDefault="004F29BC" w:rsidP="00113F04">
      <w:pPr>
        <w:pStyle w:val="Boxed3Text"/>
        <w:numPr>
          <w:ilvl w:val="0"/>
          <w:numId w:val="12"/>
        </w:numPr>
      </w:pPr>
      <w:r w:rsidRPr="004F29BC">
        <w:t xml:space="preserve">You must submit your response by the specified date and time, to the specified location and in the specified format </w:t>
      </w:r>
      <w:r w:rsidR="00113F04">
        <w:t xml:space="preserve">– </w:t>
      </w:r>
      <w:r w:rsidRPr="004F29BC">
        <w:t xml:space="preserve">for example electronically via </w:t>
      </w:r>
      <w:proofErr w:type="spellStart"/>
      <w:r w:rsidRPr="004F29BC">
        <w:t>AusTender</w:t>
      </w:r>
      <w:proofErr w:type="spellEnd"/>
      <w:r w:rsidR="007F3825">
        <w:t xml:space="preserve"> (</w:t>
      </w:r>
      <w:hyperlink r:id="rId26" w:history="1">
        <w:r w:rsidR="007F3825" w:rsidRPr="007821BD">
          <w:rPr>
            <w:rStyle w:val="Hyperlink"/>
            <w:rFonts w:cstheme="minorBidi"/>
          </w:rPr>
          <w:t>tenders.gov.au</w:t>
        </w:r>
      </w:hyperlink>
      <w:r w:rsidRPr="004F29BC">
        <w:t>). Instructions are outlined in the ATM documentation.</w:t>
      </w:r>
    </w:p>
    <w:p w14:paraId="171480FC" w14:textId="77777777" w:rsidR="004F29BC" w:rsidRPr="004F29BC" w:rsidRDefault="004F29BC" w:rsidP="00D26B17">
      <w:pPr>
        <w:pStyle w:val="Boxed3Text"/>
        <w:numPr>
          <w:ilvl w:val="0"/>
          <w:numId w:val="12"/>
        </w:numPr>
      </w:pPr>
      <w:r w:rsidRPr="004F29BC">
        <w:t>To competitively tender for work, you should meet any conditions of participation, address the evaluation criteria, complete any mandatory forms, meet any minimum requirements, and clearly demonstrate why your business should be selected on a value for money basis.</w:t>
      </w:r>
    </w:p>
    <w:p w14:paraId="246B1DD3" w14:textId="3F20A138" w:rsidR="004B04B1" w:rsidRPr="003F5B33" w:rsidRDefault="004F29BC" w:rsidP="00B53014">
      <w:pPr>
        <w:pStyle w:val="Boxed3Text"/>
        <w:numPr>
          <w:ilvl w:val="0"/>
          <w:numId w:val="12"/>
        </w:numPr>
        <w:rPr>
          <w:rFonts w:asciiTheme="majorHAnsi" w:eastAsiaTheme="majorEastAsia" w:hAnsiTheme="majorHAnsi" w:cstheme="majorBidi"/>
          <w:bCs/>
          <w:color w:val="265659" w:themeColor="text2"/>
          <w:sz w:val="40"/>
          <w:szCs w:val="28"/>
        </w:rPr>
      </w:pPr>
      <w:r w:rsidRPr="004F29BC">
        <w:t>ATM documents and requirements can vary so always read the documentation and understand what is required.</w:t>
      </w:r>
      <w:r w:rsidR="004B04B1">
        <w:br w:type="page"/>
      </w:r>
    </w:p>
    <w:p w14:paraId="43A53CCD" w14:textId="1F5F41C6" w:rsidR="00FF7BA4" w:rsidRPr="00681CEF" w:rsidRDefault="00196C1E" w:rsidP="00E3484D">
      <w:pPr>
        <w:pStyle w:val="Heading1"/>
      </w:pPr>
      <w:bookmarkStart w:id="28" w:name="_Toc155860439"/>
      <w:r w:rsidRPr="00681CEF">
        <w:lastRenderedPageBreak/>
        <w:t>What if I win a contract?</w:t>
      </w:r>
      <w:bookmarkEnd w:id="28"/>
    </w:p>
    <w:p w14:paraId="356756A3" w14:textId="77777777" w:rsidR="00196C1E" w:rsidRPr="00301F16" w:rsidRDefault="00C64F9B" w:rsidP="00782F9C">
      <w:r w:rsidRPr="00301F16">
        <w:t>A</w:t>
      </w:r>
      <w:r w:rsidR="00196C1E" w:rsidRPr="00301F16">
        <w:t>ll businesses, including those who successfully win a contract, are entitled to request a debriefing.</w:t>
      </w:r>
    </w:p>
    <w:p w14:paraId="3B4AA5E4" w14:textId="19FDB722" w:rsidR="000B1BEB" w:rsidRPr="00196C1E" w:rsidRDefault="000B1BEB" w:rsidP="000B1BEB">
      <w:r w:rsidRPr="00196C1E">
        <w:t xml:space="preserve">Contracts valued over $10,000 must be reported on </w:t>
      </w:r>
      <w:proofErr w:type="spellStart"/>
      <w:r w:rsidRPr="00196C1E">
        <w:t>AusTender</w:t>
      </w:r>
      <w:proofErr w:type="spellEnd"/>
      <w:r w:rsidRPr="00196C1E">
        <w:t xml:space="preserve"> by the Australian</w:t>
      </w:r>
      <w:r>
        <w:t xml:space="preserve"> </w:t>
      </w:r>
      <w:r w:rsidRPr="00196C1E">
        <w:t>Government buyer within 42 days of the agreement being entered into.</w:t>
      </w:r>
    </w:p>
    <w:p w14:paraId="1DC2AF31" w14:textId="1E38B48B" w:rsidR="00196C1E" w:rsidRDefault="00196C1E" w:rsidP="00E3484D">
      <w:pPr>
        <w:pStyle w:val="Heading2"/>
      </w:pPr>
      <w:bookmarkStart w:id="29" w:name="_Toc155860440"/>
      <w:r>
        <w:t xml:space="preserve">Contract </w:t>
      </w:r>
      <w:r w:rsidR="00096FF0">
        <w:t>m</w:t>
      </w:r>
      <w:r>
        <w:t>anagement</w:t>
      </w:r>
      <w:bookmarkEnd w:id="29"/>
    </w:p>
    <w:p w14:paraId="58A4802C" w14:textId="77777777" w:rsidR="000B1BEB" w:rsidRDefault="00196C1E" w:rsidP="00D60012">
      <w:pPr>
        <w:pStyle w:val="Boxed1Text"/>
      </w:pPr>
      <w:r w:rsidRPr="00196C1E">
        <w:t>The Australian Government organisation should appoint someone to oversee management of the contract, including acceptance, delivery, payment and administration.</w:t>
      </w:r>
      <w:r w:rsidR="000B1BEB">
        <w:t xml:space="preserve"> </w:t>
      </w:r>
    </w:p>
    <w:p w14:paraId="3A80C433" w14:textId="77777777" w:rsidR="00196C1E" w:rsidRPr="00196C1E" w:rsidRDefault="00196C1E" w:rsidP="00C64F9B">
      <w:r w:rsidRPr="00196C1E">
        <w:t>Contract management can involve governance, performance management, rendering of invoices, milestone reporting requirements and potential contract variations.</w:t>
      </w:r>
    </w:p>
    <w:p w14:paraId="78F3BEA7" w14:textId="77777777" w:rsidR="00196C1E" w:rsidRPr="00196C1E" w:rsidRDefault="00196C1E" w:rsidP="00C64F9B">
      <w:r w:rsidRPr="00196C1E">
        <w:t xml:space="preserve">The contract sets out the roles and responsibilities of all parties, including how, when and to what standard the deliverable/s identified in the contract are to be delivered. </w:t>
      </w:r>
    </w:p>
    <w:p w14:paraId="39E5FC9D" w14:textId="77777777" w:rsidR="00196C1E" w:rsidRPr="00196C1E" w:rsidRDefault="00196C1E" w:rsidP="00C64F9B">
      <w:r w:rsidRPr="00196C1E">
        <w:t>The contract will also contain provisions for how the organisation will monitor outputs and outline your rights and obligations, including details such as managing conflicts of interest, managing confidential and personal information, auditing arrangements, liability and indemnification and dispute resolution. </w:t>
      </w:r>
    </w:p>
    <w:p w14:paraId="4718D4E6" w14:textId="77777777" w:rsidR="00196C1E" w:rsidRPr="00196C1E" w:rsidRDefault="00196C1E" w:rsidP="00C64F9B">
      <w:r w:rsidRPr="00196C1E">
        <w:t>Payment terms will be contained in the contract.</w:t>
      </w:r>
    </w:p>
    <w:p w14:paraId="3E9DAA4C" w14:textId="77777777" w:rsidR="000642A4" w:rsidRPr="00BB2D63" w:rsidRDefault="00123B79" w:rsidP="00123B79">
      <w:pPr>
        <w:pStyle w:val="Boxed3Text"/>
        <w:rPr>
          <w:b/>
          <w:bCs/>
        </w:rPr>
      </w:pPr>
      <w:r w:rsidRPr="00BB2D63">
        <w:rPr>
          <w:b/>
          <w:bCs/>
        </w:rPr>
        <w:t xml:space="preserve">TIPS: </w:t>
      </w:r>
    </w:p>
    <w:p w14:paraId="3410B745" w14:textId="3B737151" w:rsidR="005202B2" w:rsidRDefault="00196C1E" w:rsidP="007A34CB">
      <w:pPr>
        <w:pStyle w:val="Boxed3Text"/>
        <w:numPr>
          <w:ilvl w:val="0"/>
          <w:numId w:val="30"/>
        </w:numPr>
      </w:pPr>
      <w:r w:rsidRPr="00196C1E">
        <w:t>Contract documentation for purchases under $200,000 is generally consistent, and you may wish to view the standard contract documentation via the </w:t>
      </w:r>
      <w:hyperlink r:id="rId27" w:history="1">
        <w:r w:rsidRPr="0092670C">
          <w:rPr>
            <w:rStyle w:val="Hyperlink"/>
            <w:rFonts w:cstheme="minorBidi"/>
          </w:rPr>
          <w:t>Commonwealth Contracting Suite</w:t>
        </w:r>
      </w:hyperlink>
      <w:r w:rsidRPr="00196C1E">
        <w:t xml:space="preserve"> to understand what to expect and your obligations.</w:t>
      </w:r>
      <w:r w:rsidR="005202B2">
        <w:br w:type="page"/>
      </w:r>
    </w:p>
    <w:p w14:paraId="00C77F7D" w14:textId="06382C86" w:rsidR="00196C1E" w:rsidRDefault="00196C1E" w:rsidP="00E3484D">
      <w:pPr>
        <w:pStyle w:val="Heading2"/>
      </w:pPr>
      <w:bookmarkStart w:id="30" w:name="_Toc155860441"/>
      <w:r>
        <w:lastRenderedPageBreak/>
        <w:t xml:space="preserve">Working successfully with Australian Government </w:t>
      </w:r>
      <w:proofErr w:type="spellStart"/>
      <w:r>
        <w:t>organisations</w:t>
      </w:r>
      <w:bookmarkEnd w:id="30"/>
      <w:proofErr w:type="spellEnd"/>
    </w:p>
    <w:p w14:paraId="36657056" w14:textId="77777777" w:rsidR="00A82276" w:rsidRPr="00BB2D63" w:rsidRDefault="00A82276" w:rsidP="00A82276">
      <w:pPr>
        <w:pStyle w:val="Boxed3Text"/>
        <w:rPr>
          <w:b/>
          <w:bCs/>
        </w:rPr>
      </w:pPr>
      <w:r w:rsidRPr="00BB2D63">
        <w:rPr>
          <w:b/>
          <w:bCs/>
        </w:rPr>
        <w:t xml:space="preserve">TIPS: </w:t>
      </w:r>
    </w:p>
    <w:p w14:paraId="77978682" w14:textId="334342C6" w:rsidR="00196C1E" w:rsidRPr="00196C1E" w:rsidRDefault="00196C1E" w:rsidP="00D26B17">
      <w:pPr>
        <w:pStyle w:val="Boxed3Text"/>
        <w:numPr>
          <w:ilvl w:val="0"/>
          <w:numId w:val="13"/>
        </w:numPr>
      </w:pPr>
      <w:r w:rsidRPr="00196C1E">
        <w:t>The most important thing is to deliver the goods or services on time, on budget and in a professional manner.</w:t>
      </w:r>
    </w:p>
    <w:p w14:paraId="0B1029A8" w14:textId="77777777" w:rsidR="00196C1E" w:rsidRPr="00196C1E" w:rsidRDefault="00196C1E" w:rsidP="00D26B17">
      <w:pPr>
        <w:pStyle w:val="Boxed3Text"/>
        <w:numPr>
          <w:ilvl w:val="0"/>
          <w:numId w:val="14"/>
        </w:numPr>
      </w:pPr>
      <w:r w:rsidRPr="00196C1E">
        <w:t>Fill in the paperwork for your contract promptly and give the Australian Government contract manager any information that they need as soon as you can.</w:t>
      </w:r>
    </w:p>
    <w:p w14:paraId="061AD266" w14:textId="77777777" w:rsidR="00196C1E" w:rsidRPr="00196C1E" w:rsidRDefault="00196C1E" w:rsidP="00D26B17">
      <w:pPr>
        <w:pStyle w:val="Boxed3Text"/>
        <w:numPr>
          <w:ilvl w:val="0"/>
          <w:numId w:val="14"/>
        </w:numPr>
      </w:pPr>
      <w:r w:rsidRPr="00196C1E">
        <w:t>Keep your contract manager informed – you might do this by phone, email or attending meetings – regular meetings relevant to the contract are good practice.</w:t>
      </w:r>
    </w:p>
    <w:p w14:paraId="4E0647A7" w14:textId="77777777" w:rsidR="00196C1E" w:rsidRPr="00196C1E" w:rsidRDefault="00196C1E" w:rsidP="00D26B17">
      <w:pPr>
        <w:pStyle w:val="Boxed3Text"/>
        <w:numPr>
          <w:ilvl w:val="0"/>
          <w:numId w:val="14"/>
        </w:numPr>
      </w:pPr>
      <w:r w:rsidRPr="00196C1E">
        <w:t>Don’t be afraid to advise of issues – a professional contract manager would prefer to work with you to prevent issues rather than try to fix them afterwards.</w:t>
      </w:r>
    </w:p>
    <w:p w14:paraId="3EA69153" w14:textId="55CD98BB" w:rsidR="00681CEF" w:rsidRDefault="00196C1E" w:rsidP="007A34CB">
      <w:pPr>
        <w:pStyle w:val="Boxed3Text"/>
        <w:numPr>
          <w:ilvl w:val="0"/>
          <w:numId w:val="14"/>
        </w:numPr>
      </w:pPr>
      <w:r w:rsidRPr="00196C1E">
        <w:t>Ensure that all deliverables have been completed and contractual obligations have been met, including any reporting requirements, within the timeframes specified in the contract.</w:t>
      </w:r>
      <w:r w:rsidR="00681CEF">
        <w:br w:type="page"/>
      </w:r>
    </w:p>
    <w:p w14:paraId="61D837E6" w14:textId="6FF70EAD" w:rsidR="00196C1E" w:rsidRPr="00681CEF" w:rsidRDefault="00897DB4" w:rsidP="00E3484D">
      <w:pPr>
        <w:pStyle w:val="Heading1"/>
      </w:pPr>
      <w:bookmarkStart w:id="31" w:name="_Toc155860442"/>
      <w:r w:rsidRPr="00681CEF">
        <w:lastRenderedPageBreak/>
        <w:t>What if I don’t win a contract?</w:t>
      </w:r>
      <w:bookmarkEnd w:id="31"/>
    </w:p>
    <w:p w14:paraId="6A3C0C40" w14:textId="77777777" w:rsidR="009B6573" w:rsidRPr="00B36910" w:rsidRDefault="009B6573" w:rsidP="00B36910">
      <w:pPr>
        <w:pStyle w:val="Boxed3Text"/>
        <w:rPr>
          <w:b/>
          <w:bCs/>
        </w:rPr>
      </w:pPr>
      <w:r w:rsidRPr="00B36910">
        <w:rPr>
          <w:b/>
          <w:bCs/>
        </w:rPr>
        <w:t>REMINDER:</w:t>
      </w:r>
    </w:p>
    <w:p w14:paraId="1FF16AC5" w14:textId="242C5DBE" w:rsidR="00897DB4" w:rsidRPr="00897DB4" w:rsidRDefault="00897DB4" w:rsidP="00B36910">
      <w:pPr>
        <w:pStyle w:val="Boxed3Text"/>
      </w:pPr>
      <w:r w:rsidRPr="00897DB4">
        <w:t xml:space="preserve">Every business that responded to an ATM is entitled to request a debriefing after the completion of the procurement process. </w:t>
      </w:r>
    </w:p>
    <w:p w14:paraId="5C6F2379" w14:textId="242C5DBE" w:rsidR="00126A9C" w:rsidRDefault="00126A9C" w:rsidP="00E3484D">
      <w:pPr>
        <w:pStyle w:val="Heading2"/>
      </w:pPr>
      <w:bookmarkStart w:id="32" w:name="_Toc155860443"/>
      <w:r>
        <w:t>Tender debriefing</w:t>
      </w:r>
      <w:bookmarkEnd w:id="32"/>
    </w:p>
    <w:p w14:paraId="1A7A5C3A" w14:textId="54730AB8" w:rsidR="00CC0BB2" w:rsidRPr="00897DB4" w:rsidRDefault="00CC0BB2" w:rsidP="0000096F">
      <w:pPr>
        <w:pStyle w:val="Boxed1Text"/>
      </w:pPr>
      <w:r w:rsidRPr="00897DB4">
        <w:t>The purpose of a debrieﬁng is not to justify the selection of the successful tender but rather give you feedback on your response.</w:t>
      </w:r>
    </w:p>
    <w:p w14:paraId="0B99C17E" w14:textId="77777777" w:rsidR="00897DB4" w:rsidRPr="00897DB4" w:rsidRDefault="00897DB4" w:rsidP="00897DB4">
      <w:r w:rsidRPr="00897DB4">
        <w:t xml:space="preserve">Aspects of another business’s response or submission cannot be discussed with you. </w:t>
      </w:r>
    </w:p>
    <w:p w14:paraId="28D1D743" w14:textId="77777777" w:rsidR="00897DB4" w:rsidRPr="00897DB4" w:rsidRDefault="00897DB4" w:rsidP="00454C37">
      <w:r w:rsidRPr="00897DB4">
        <w:t>Typical themes that may be covered in a debriefing are: </w:t>
      </w:r>
    </w:p>
    <w:p w14:paraId="153BF059" w14:textId="77777777" w:rsidR="00897DB4" w:rsidRPr="00897DB4" w:rsidRDefault="00897DB4" w:rsidP="00112B5B">
      <w:pPr>
        <w:pStyle w:val="Bullet1"/>
      </w:pPr>
      <w:r w:rsidRPr="00897DB4">
        <w:t>comparison of your submission to the evaluation criteria</w:t>
      </w:r>
    </w:p>
    <w:p w14:paraId="378032FD" w14:textId="77777777" w:rsidR="00897DB4" w:rsidRPr="00897DB4" w:rsidRDefault="00897DB4" w:rsidP="00112B5B">
      <w:pPr>
        <w:pStyle w:val="Bullet1"/>
      </w:pPr>
      <w:r w:rsidRPr="00897DB4">
        <w:t>strengths and weaknesses of the submission </w:t>
      </w:r>
    </w:p>
    <w:p w14:paraId="4C30F7A4" w14:textId="77777777" w:rsidR="00897DB4" w:rsidRPr="00897DB4" w:rsidRDefault="00897DB4" w:rsidP="00112B5B">
      <w:pPr>
        <w:pStyle w:val="Bullet1"/>
      </w:pPr>
      <w:r w:rsidRPr="00897DB4">
        <w:t>suitability of your experience and qualifications </w:t>
      </w:r>
    </w:p>
    <w:p w14:paraId="0D991F5B" w14:textId="77777777" w:rsidR="00897DB4" w:rsidRPr="00897DB4" w:rsidRDefault="00897DB4" w:rsidP="00112B5B">
      <w:pPr>
        <w:pStyle w:val="Bullet1"/>
      </w:pPr>
      <w:r w:rsidRPr="00897DB4">
        <w:t>an indication of cost competitiveness</w:t>
      </w:r>
    </w:p>
    <w:p w14:paraId="46549231" w14:textId="77777777" w:rsidR="00897DB4" w:rsidRPr="00897DB4" w:rsidRDefault="00897DB4" w:rsidP="00112B5B">
      <w:pPr>
        <w:pStyle w:val="Bullet1"/>
      </w:pPr>
      <w:r w:rsidRPr="00897DB4">
        <w:t>referee reports or past performance </w:t>
      </w:r>
    </w:p>
    <w:p w14:paraId="7E8BA8A8" w14:textId="35793B1E" w:rsidR="00897DB4" w:rsidRDefault="00897DB4" w:rsidP="00112B5B">
      <w:pPr>
        <w:pStyle w:val="Bullet1"/>
      </w:pPr>
      <w:r w:rsidRPr="00897DB4">
        <w:t>understanding of the Australian Government procurement process.</w:t>
      </w:r>
    </w:p>
    <w:p w14:paraId="10E1782D" w14:textId="01BB7901" w:rsidR="0073377A" w:rsidRPr="00BB2D63" w:rsidRDefault="0073377A" w:rsidP="0073377A">
      <w:pPr>
        <w:pStyle w:val="Boxed3Text"/>
        <w:rPr>
          <w:b/>
          <w:bCs/>
        </w:rPr>
      </w:pPr>
      <w:r w:rsidRPr="00BB2D63">
        <w:rPr>
          <w:b/>
          <w:bCs/>
        </w:rPr>
        <w:t>TIPS</w:t>
      </w:r>
      <w:r w:rsidR="00FC2566" w:rsidRPr="00BB2D63">
        <w:rPr>
          <w:b/>
          <w:bCs/>
        </w:rPr>
        <w:t>:</w:t>
      </w:r>
    </w:p>
    <w:p w14:paraId="5D654F95" w14:textId="77777777" w:rsidR="00BB2D63" w:rsidRDefault="0073377A" w:rsidP="00D26B17">
      <w:pPr>
        <w:pStyle w:val="Boxed3Text"/>
        <w:numPr>
          <w:ilvl w:val="0"/>
          <w:numId w:val="29"/>
        </w:numPr>
      </w:pPr>
      <w:r w:rsidRPr="0073377A">
        <w:t xml:space="preserve">It is recommended that businesses request a debriefing to receive feedback on your tender response. </w:t>
      </w:r>
    </w:p>
    <w:p w14:paraId="7052C0FB" w14:textId="28CC8731" w:rsidR="005202B2" w:rsidRDefault="00BB2D63" w:rsidP="007A34CB">
      <w:pPr>
        <w:pStyle w:val="Boxed3Text"/>
        <w:numPr>
          <w:ilvl w:val="0"/>
          <w:numId w:val="29"/>
        </w:numPr>
      </w:pPr>
      <w:r>
        <w:t>A debriefing</w:t>
      </w:r>
      <w:r w:rsidR="0073377A" w:rsidRPr="0073377A">
        <w:t xml:space="preserve"> can help you to compete more effectively in future processes.</w:t>
      </w:r>
      <w:r w:rsidR="005202B2">
        <w:br w:type="page"/>
      </w:r>
    </w:p>
    <w:p w14:paraId="019A2C7A" w14:textId="2AE2AA2C" w:rsidR="00897DB4" w:rsidRDefault="00C53D94" w:rsidP="00E3484D">
      <w:pPr>
        <w:pStyle w:val="Heading2"/>
      </w:pPr>
      <w:bookmarkStart w:id="33" w:name="_Toc155860444"/>
      <w:r>
        <w:lastRenderedPageBreak/>
        <w:t>How do I raise a complaint</w:t>
      </w:r>
      <w:r w:rsidR="00897DB4">
        <w:t>?</w:t>
      </w:r>
      <w:bookmarkEnd w:id="33"/>
    </w:p>
    <w:p w14:paraId="1CED8C32" w14:textId="77777777" w:rsidR="00897DB4" w:rsidRPr="00897DB4" w:rsidRDefault="00897DB4" w:rsidP="00D60012">
      <w:pPr>
        <w:pStyle w:val="Boxed1Text"/>
      </w:pPr>
      <w:r w:rsidRPr="00897DB4">
        <w:t>After a tender process is over, you may have concerns that the process was flawed, or the evaluation was inaccurate or unfair. </w:t>
      </w:r>
    </w:p>
    <w:p w14:paraId="6028186E" w14:textId="77777777" w:rsidR="00897DB4" w:rsidRPr="00897DB4" w:rsidRDefault="00897DB4" w:rsidP="00D60012">
      <w:pPr>
        <w:pStyle w:val="Boxed1Text"/>
      </w:pPr>
      <w:r w:rsidRPr="00897DB4">
        <w:t>Requesting a debriefing is good practice as you can obtain feedback about your submission and gain a better understanding of the process.</w:t>
      </w:r>
    </w:p>
    <w:p w14:paraId="7D3E0BA0" w14:textId="77777777" w:rsidR="00897DB4" w:rsidRPr="00897DB4" w:rsidRDefault="00897DB4" w:rsidP="00897DB4">
      <w:r w:rsidRPr="00897DB4">
        <w:t>If you feel a matter is unresolved, you should indicate this clearly to the Australian Government organisation that managed the procurement process before making a formal complaint.</w:t>
      </w:r>
    </w:p>
    <w:p w14:paraId="5050E6E5" w14:textId="77777777" w:rsidR="00897DB4" w:rsidRPr="00897DB4" w:rsidRDefault="00897DB4" w:rsidP="00897DB4">
      <w:r w:rsidRPr="00897DB4">
        <w:t>Complaints should only relate to the process followed by the Australian Government organisation and its consistency with the requirements of the Commonwealth Procurement Rules.</w:t>
      </w:r>
    </w:p>
    <w:p w14:paraId="4AB6BD14" w14:textId="77777777" w:rsidR="00897DB4" w:rsidRPr="00897DB4" w:rsidRDefault="00897DB4" w:rsidP="00897DB4">
      <w:r w:rsidRPr="00897DB4">
        <w:t>The fact that your submission was not selected is not sufficient grounds for complaint.</w:t>
      </w:r>
    </w:p>
    <w:p w14:paraId="2B35D7C0" w14:textId="7474CE9B" w:rsidR="00301F16" w:rsidRDefault="00897DB4" w:rsidP="007A34CB">
      <w:r w:rsidRPr="00897DB4">
        <w:t>There are further mechanisms you may wish to consider if you are not happy with the outcome – depending on your concerns, you may raise the matter with the Australian Government Procurement Coordinator, approach the Commonwealth Ombudsman, or there may be recourse through Federal Circuit Court or the Federal Court of Australia.</w:t>
      </w:r>
      <w:r w:rsidR="00301F16">
        <w:br w:type="page"/>
      </w:r>
    </w:p>
    <w:p w14:paraId="4CCF6D52" w14:textId="7FCB1205" w:rsidR="00897DB4" w:rsidRPr="00681CEF" w:rsidRDefault="009472B0" w:rsidP="00E3484D">
      <w:pPr>
        <w:pStyle w:val="Heading1"/>
      </w:pPr>
      <w:bookmarkStart w:id="34" w:name="_Toc155860445"/>
      <w:r w:rsidRPr="00681CEF">
        <w:lastRenderedPageBreak/>
        <w:t>Resources and contacts</w:t>
      </w:r>
      <w:bookmarkEnd w:id="34"/>
    </w:p>
    <w:p w14:paraId="101745AF" w14:textId="2C27F1DE" w:rsidR="00FD31C4" w:rsidRDefault="00897DB4" w:rsidP="00FD31C4">
      <w:pPr>
        <w:pStyle w:val="Boxed1Text"/>
      </w:pPr>
      <w:r w:rsidRPr="00897DB4">
        <w:t xml:space="preserve">The Department of Finance’s Selling to Government website </w:t>
      </w:r>
      <w:r w:rsidR="000732B4">
        <w:t>(</w:t>
      </w:r>
      <w:hyperlink r:id="rId28" w:history="1">
        <w:r w:rsidR="000732B4" w:rsidRPr="000732B4">
          <w:rPr>
            <w:rStyle w:val="Hyperlink"/>
            <w:rFonts w:cstheme="minorBidi"/>
          </w:rPr>
          <w:t>sellingtogov.finance.gov.au</w:t>
        </w:r>
      </w:hyperlink>
      <w:r w:rsidR="000732B4">
        <w:t xml:space="preserve">) </w:t>
      </w:r>
      <w:r w:rsidRPr="00897DB4">
        <w:t>provides information to support businesses to understand how to participate in Australian Government procurement and contracting opportunities</w:t>
      </w:r>
      <w:r w:rsidR="00FD31C4">
        <w:t>.</w:t>
      </w:r>
    </w:p>
    <w:p w14:paraId="3D517F56" w14:textId="521F0B25" w:rsidR="00897DB4" w:rsidRPr="00897DB4" w:rsidRDefault="00FD31C4" w:rsidP="00790969">
      <w:r>
        <w:t>Information available includes:</w:t>
      </w:r>
    </w:p>
    <w:p w14:paraId="7A8EE399" w14:textId="1A905097" w:rsidR="00897DB4" w:rsidRPr="00897DB4" w:rsidRDefault="000732B4" w:rsidP="00790969">
      <w:pPr>
        <w:pStyle w:val="Bullet1"/>
      </w:pPr>
      <w:r w:rsidRPr="00790969">
        <w:t>Where to find opportunities to sell to the Australian Government </w:t>
      </w:r>
    </w:p>
    <w:p w14:paraId="56BE7139" w14:textId="1AF346F3" w:rsidR="00897DB4" w:rsidRPr="00897DB4" w:rsidRDefault="000732B4" w:rsidP="00790969">
      <w:pPr>
        <w:pStyle w:val="Bullet1"/>
      </w:pPr>
      <w:r w:rsidRPr="007A34CB">
        <w:t>What rules and processes Australian Government organisations follow when procuring goods and services </w:t>
      </w:r>
    </w:p>
    <w:p w14:paraId="630A6F4C" w14:textId="74022738" w:rsidR="00897DB4" w:rsidRPr="00897DB4" w:rsidRDefault="000732B4" w:rsidP="00790969">
      <w:pPr>
        <w:pStyle w:val="Bullet1"/>
      </w:pPr>
      <w:r w:rsidRPr="007A34CB">
        <w:t xml:space="preserve">How to respond to an </w:t>
      </w:r>
      <w:r w:rsidR="009D0B40">
        <w:t>A</w:t>
      </w:r>
      <w:r w:rsidRPr="007A34CB">
        <w:t xml:space="preserve">pproach to </w:t>
      </w:r>
      <w:r w:rsidR="009D0B40">
        <w:t>M</w:t>
      </w:r>
      <w:r w:rsidRPr="007A34CB">
        <w:t>arket </w:t>
      </w:r>
    </w:p>
    <w:p w14:paraId="225C9D6A" w14:textId="43B4CF21" w:rsidR="00897DB4" w:rsidRPr="00897DB4" w:rsidRDefault="000732B4" w:rsidP="00790969">
      <w:pPr>
        <w:pStyle w:val="Bullet1"/>
      </w:pPr>
      <w:r w:rsidRPr="007A34CB">
        <w:t>What to expect if you are awarded a contract.</w:t>
      </w:r>
    </w:p>
    <w:p w14:paraId="73994526" w14:textId="31896D41" w:rsidR="00897DB4" w:rsidRDefault="00897DB4" w:rsidP="00897DB4">
      <w:r w:rsidRPr="00897DB4">
        <w:t>The Department of Finance is continuously updating the website to improve information for suppliers. </w:t>
      </w:r>
    </w:p>
    <w:p w14:paraId="03978796" w14:textId="491E0C7C" w:rsidR="006C5BB2" w:rsidRPr="0002702D" w:rsidRDefault="006C5BB2" w:rsidP="00790969">
      <w:pPr>
        <w:pStyle w:val="Boxed3Text"/>
      </w:pPr>
      <w:r w:rsidRPr="006C5BB2">
        <w:t xml:space="preserve">If you are interested in supplying to the Australian Government, visit </w:t>
      </w:r>
      <w:hyperlink r:id="rId29" w:history="1">
        <w:r w:rsidRPr="00BF2475">
          <w:rPr>
            <w:rStyle w:val="Hyperlink"/>
            <w:rFonts w:cstheme="minorBidi"/>
          </w:rPr>
          <w:t>sellingtogov.finance.gov.au</w:t>
        </w:r>
      </w:hyperlink>
      <w:r>
        <w:t xml:space="preserve"> </w:t>
      </w:r>
      <w:r w:rsidRPr="006C5BB2">
        <w:t>to find out more. </w:t>
      </w:r>
    </w:p>
    <w:p w14:paraId="39CF757D" w14:textId="2ABE4D1A" w:rsidR="00BF77C3" w:rsidRPr="00790969" w:rsidRDefault="0002702D" w:rsidP="00E3484D">
      <w:pPr>
        <w:pStyle w:val="Heading2"/>
      </w:pPr>
      <w:bookmarkStart w:id="35" w:name="_Toc155860446"/>
      <w:r w:rsidRPr="0002702D">
        <w:t>Feedback</w:t>
      </w:r>
      <w:bookmarkEnd w:id="35"/>
    </w:p>
    <w:p w14:paraId="0F847B8E" w14:textId="31DB1AAB" w:rsidR="0002702D" w:rsidRDefault="0002702D" w:rsidP="0002702D">
      <w:r>
        <w:t xml:space="preserve">The Department of Finance is interested in feedback on this session’s content. We are committed to providing the most useful resources to businesses wanting to know about supplying to the Australian Government. </w:t>
      </w:r>
    </w:p>
    <w:p w14:paraId="77261600" w14:textId="286628C8" w:rsidR="00BF77C3" w:rsidRDefault="0002702D" w:rsidP="00790969">
      <w:r>
        <w:t xml:space="preserve">If you would like to provide feedback, please submit a short survey response </w:t>
      </w:r>
      <w:r w:rsidR="00FD31C4">
        <w:t xml:space="preserve">online </w:t>
      </w:r>
      <w:r>
        <w:t xml:space="preserve">via </w:t>
      </w:r>
      <w:r w:rsidR="00FD31C4" w:rsidRPr="000C510A">
        <w:t xml:space="preserve">the </w:t>
      </w:r>
      <w:hyperlink r:id="rId30" w:history="1">
        <w:r>
          <w:rPr>
            <w:rStyle w:val="Hyperlink"/>
            <w:rFonts w:cstheme="minorBidi"/>
          </w:rPr>
          <w:t>Workshop Feedback Form</w:t>
        </w:r>
      </w:hyperlink>
      <w:r w:rsidRPr="007A34CB">
        <w:t>.</w:t>
      </w:r>
    </w:p>
    <w:p w14:paraId="24FF3228" w14:textId="0A87C5E3" w:rsidR="00BF77C3" w:rsidRPr="00301F16" w:rsidRDefault="0002702D" w:rsidP="00E3484D">
      <w:pPr>
        <w:pStyle w:val="Heading2"/>
      </w:pPr>
      <w:bookmarkStart w:id="36" w:name="_Toc155860447"/>
      <w:r>
        <w:t>Have further questions or want to get in touch?</w:t>
      </w:r>
      <w:bookmarkEnd w:id="36"/>
    </w:p>
    <w:p w14:paraId="5A2CE13D" w14:textId="0160A83D" w:rsidR="00BF77C3" w:rsidRDefault="0002702D" w:rsidP="007A34CB">
      <w:r>
        <w:t>Please submit a</w:t>
      </w:r>
      <w:r w:rsidR="00FD31C4">
        <w:t>ll</w:t>
      </w:r>
      <w:r>
        <w:t xml:space="preserve"> queries via the Selling to Government</w:t>
      </w:r>
      <w:r w:rsidR="00FD31C4">
        <w:t xml:space="preserve"> website’s</w:t>
      </w:r>
      <w:r>
        <w:t xml:space="preserve"> </w:t>
      </w:r>
      <w:hyperlink r:id="rId31" w:history="1">
        <w:r>
          <w:rPr>
            <w:rStyle w:val="Hyperlink"/>
            <w:rFonts w:cstheme="minorBidi"/>
          </w:rPr>
          <w:t>Contact Us Form</w:t>
        </w:r>
      </w:hyperlink>
      <w:r w:rsidRPr="007A34CB">
        <w:t>.</w:t>
      </w:r>
    </w:p>
    <w:sectPr w:rsidR="00BF77C3" w:rsidSect="004D5130">
      <w:headerReference w:type="default" r:id="rId32"/>
      <w:footerReference w:type="default" r:id="rId33"/>
      <w:pgSz w:w="11906" w:h="16838" w:code="9"/>
      <w:pgMar w:top="1418" w:right="1418" w:bottom="102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77EC0" w14:textId="77777777" w:rsidR="00EB2D3B" w:rsidRDefault="00EB2D3B" w:rsidP="00EF4574">
      <w:pPr>
        <w:spacing w:before="0" w:after="0" w:line="240" w:lineRule="auto"/>
      </w:pPr>
      <w:r>
        <w:separator/>
      </w:r>
    </w:p>
    <w:p w14:paraId="2F9684B0" w14:textId="77777777" w:rsidR="00EB2D3B" w:rsidRDefault="00EB2D3B"/>
  </w:endnote>
  <w:endnote w:type="continuationSeparator" w:id="0">
    <w:p w14:paraId="3EBF33CD" w14:textId="77777777" w:rsidR="00EB2D3B" w:rsidRDefault="00EB2D3B" w:rsidP="00EF4574">
      <w:pPr>
        <w:spacing w:before="0" w:after="0" w:line="240" w:lineRule="auto"/>
      </w:pPr>
      <w:r>
        <w:continuationSeparator/>
      </w:r>
    </w:p>
    <w:p w14:paraId="4833077B" w14:textId="77777777" w:rsidR="00EB2D3B" w:rsidRDefault="00EB2D3B"/>
  </w:endnote>
  <w:endnote w:type="continuationNotice" w:id="1">
    <w:p w14:paraId="2CDD0AB6" w14:textId="77777777" w:rsidR="00EB2D3B" w:rsidRDefault="00EB2D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240A"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9529" w14:textId="29E6DAF6" w:rsidR="005D3E0C" w:rsidRPr="00B820BC" w:rsidRDefault="005D3E0C" w:rsidP="00C64B99">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872C5" w14:textId="77777777" w:rsidR="00EB2D3B" w:rsidRDefault="00EB2D3B" w:rsidP="0020122A">
      <w:pPr>
        <w:pStyle w:val="FootnoteSeparator"/>
      </w:pPr>
    </w:p>
  </w:footnote>
  <w:footnote w:type="continuationSeparator" w:id="0">
    <w:p w14:paraId="15B8F575" w14:textId="77777777" w:rsidR="00EB2D3B" w:rsidRDefault="00EB2D3B" w:rsidP="00EF4574">
      <w:pPr>
        <w:spacing w:before="0" w:after="0" w:line="240" w:lineRule="auto"/>
      </w:pPr>
      <w:r>
        <w:continuationSeparator/>
      </w:r>
    </w:p>
    <w:p w14:paraId="73AD41B3" w14:textId="77777777" w:rsidR="00EB2D3B" w:rsidRDefault="00EB2D3B"/>
  </w:footnote>
  <w:footnote w:type="continuationNotice" w:id="1">
    <w:p w14:paraId="1877CC23" w14:textId="77777777" w:rsidR="00EB2D3B" w:rsidRDefault="00EB2D3B">
      <w:pPr>
        <w:spacing w:before="0" w:after="0" w:line="240" w:lineRule="auto"/>
      </w:pPr>
    </w:p>
  </w:footnote>
  <w:footnote w:id="2">
    <w:p w14:paraId="4533E465" w14:textId="52061AB1" w:rsidR="002B6F4C" w:rsidRPr="00D10F2B" w:rsidRDefault="002B6F4C" w:rsidP="000B6D5E">
      <w:pPr>
        <w:pStyle w:val="FootnoteText"/>
        <w:rPr>
          <w:sz w:val="22"/>
          <w:szCs w:val="28"/>
        </w:rPr>
      </w:pPr>
      <w:r w:rsidRPr="00C40D82">
        <w:rPr>
          <w:rStyle w:val="FootnoteReference"/>
          <w:sz w:val="22"/>
          <w:szCs w:val="28"/>
        </w:rPr>
        <w:footnoteRef/>
      </w:r>
      <w:r w:rsidRPr="00C40D82">
        <w:rPr>
          <w:sz w:val="22"/>
          <w:szCs w:val="28"/>
        </w:rPr>
        <w:t xml:space="preserve"> Certain thresholds apply</w:t>
      </w:r>
      <w:r w:rsidR="00BF2475">
        <w:rPr>
          <w:sz w:val="22"/>
          <w:szCs w:val="28"/>
        </w:rPr>
        <w:t xml:space="preserve">, </w:t>
      </w:r>
      <w:r w:rsidR="00B31A5A">
        <w:rPr>
          <w:sz w:val="22"/>
          <w:szCs w:val="28"/>
        </w:rPr>
        <w:t>refer</w:t>
      </w:r>
      <w:r w:rsidR="0080649D">
        <w:rPr>
          <w:sz w:val="22"/>
          <w:szCs w:val="28"/>
        </w:rPr>
        <w:t xml:space="preserve"> to </w:t>
      </w:r>
      <w:r w:rsidR="0080649D" w:rsidRPr="00D10F2B">
        <w:rPr>
          <w:sz w:val="22"/>
          <w:szCs w:val="28"/>
        </w:rPr>
        <w:t xml:space="preserve">the </w:t>
      </w:r>
      <w:hyperlink r:id="rId1" w:history="1">
        <w:r w:rsidR="0080649D" w:rsidRPr="00BF2475">
          <w:rPr>
            <w:rStyle w:val="Hyperlink"/>
            <w:rFonts w:cstheme="minorBidi"/>
            <w:sz w:val="22"/>
            <w:szCs w:val="28"/>
          </w:rPr>
          <w:t>Indigenous Procurement Policy</w:t>
        </w:r>
      </w:hyperlink>
    </w:p>
  </w:footnote>
  <w:footnote w:id="3">
    <w:p w14:paraId="72CDDADE" w14:textId="0E0D95AB" w:rsidR="002B6F4C" w:rsidRPr="00B3421C" w:rsidRDefault="002B6F4C" w:rsidP="00D10F2B">
      <w:pPr>
        <w:pStyle w:val="FootnoteText"/>
        <w:rPr>
          <w:sz w:val="22"/>
          <w:szCs w:val="28"/>
        </w:rPr>
      </w:pPr>
      <w:r w:rsidRPr="00D10F2B">
        <w:rPr>
          <w:rStyle w:val="FootnoteReference"/>
          <w:sz w:val="22"/>
          <w:szCs w:val="28"/>
        </w:rPr>
        <w:footnoteRef/>
      </w:r>
      <w:r w:rsidRPr="00D10F2B">
        <w:rPr>
          <w:sz w:val="22"/>
          <w:szCs w:val="28"/>
        </w:rPr>
        <w:t xml:space="preserve"> Certain thresholds apply</w:t>
      </w:r>
      <w:r w:rsidR="00BF2475">
        <w:rPr>
          <w:sz w:val="22"/>
          <w:szCs w:val="28"/>
        </w:rPr>
        <w:t xml:space="preserve">, </w:t>
      </w:r>
      <w:r w:rsidR="0080649D" w:rsidRPr="00D10F2B">
        <w:rPr>
          <w:sz w:val="22"/>
          <w:szCs w:val="28"/>
        </w:rPr>
        <w:t xml:space="preserve">refer to the </w:t>
      </w:r>
      <w:hyperlink r:id="rId2" w:history="1">
        <w:r w:rsidR="0080649D" w:rsidRPr="00BF2475">
          <w:rPr>
            <w:rStyle w:val="Hyperlink"/>
            <w:rFonts w:cstheme="minorBidi"/>
            <w:sz w:val="22"/>
            <w:szCs w:val="28"/>
          </w:rPr>
          <w:t xml:space="preserve">Commonwealth </w:t>
        </w:r>
        <w:r w:rsidR="00BC1D66" w:rsidRPr="00BF2475">
          <w:rPr>
            <w:rStyle w:val="Hyperlink"/>
            <w:rFonts w:cstheme="minorBidi"/>
            <w:sz w:val="22"/>
            <w:szCs w:val="28"/>
          </w:rPr>
          <w:t>Procurement Rules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216C" w14:textId="08185E50" w:rsidR="0082589D" w:rsidRPr="00C64B99" w:rsidRDefault="0082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20F"/>
    <w:multiLevelType w:val="hybridMultilevel"/>
    <w:tmpl w:val="8A90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839DE"/>
    <w:multiLevelType w:val="hybridMultilevel"/>
    <w:tmpl w:val="7BA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7731C"/>
    <w:multiLevelType w:val="hybridMultilevel"/>
    <w:tmpl w:val="9688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A221A"/>
    <w:multiLevelType w:val="hybridMultilevel"/>
    <w:tmpl w:val="E9367482"/>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823456D"/>
    <w:multiLevelType w:val="hybridMultilevel"/>
    <w:tmpl w:val="37203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86C8B"/>
    <w:multiLevelType w:val="hybridMultilevel"/>
    <w:tmpl w:val="975E55A0"/>
    <w:lvl w:ilvl="0" w:tplc="70307502">
      <w:start w:val="1"/>
      <w:numFmt w:val="bullet"/>
      <w:lvlText w:val=""/>
      <w:lvlJc w:val="left"/>
      <w:pPr>
        <w:ind w:left="644" w:hanging="360"/>
      </w:pPr>
      <w:rPr>
        <w:rFonts w:ascii="Wingdings" w:hAnsi="Wingdings" w:hint="default"/>
        <w:color w:val="auto"/>
        <w:sz w:val="22"/>
        <w:szCs w:val="2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08E13DFB"/>
    <w:multiLevelType w:val="hybridMultilevel"/>
    <w:tmpl w:val="0A6C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D151D"/>
    <w:multiLevelType w:val="hybridMultilevel"/>
    <w:tmpl w:val="4EC67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6C1F72"/>
    <w:multiLevelType w:val="hybridMultilevel"/>
    <w:tmpl w:val="19B459D2"/>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0D110138"/>
    <w:multiLevelType w:val="hybridMultilevel"/>
    <w:tmpl w:val="E59A08D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0D953E50"/>
    <w:multiLevelType w:val="hybridMultilevel"/>
    <w:tmpl w:val="7640F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F49B0"/>
    <w:multiLevelType w:val="hybridMultilevel"/>
    <w:tmpl w:val="3A02D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491110"/>
    <w:multiLevelType w:val="hybridMultilevel"/>
    <w:tmpl w:val="A27E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8938D2"/>
    <w:multiLevelType w:val="hybridMultilevel"/>
    <w:tmpl w:val="342CE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3F5058"/>
    <w:multiLevelType w:val="hybridMultilevel"/>
    <w:tmpl w:val="FF7CF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560197"/>
    <w:multiLevelType w:val="hybridMultilevel"/>
    <w:tmpl w:val="6A801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336130"/>
    <w:multiLevelType w:val="hybridMultilevel"/>
    <w:tmpl w:val="51E4F8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A527BFF"/>
    <w:multiLevelType w:val="hybridMultilevel"/>
    <w:tmpl w:val="6B0E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E4A9D"/>
    <w:multiLevelType w:val="hybridMultilevel"/>
    <w:tmpl w:val="41561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F17C1E"/>
    <w:multiLevelType w:val="hybridMultilevel"/>
    <w:tmpl w:val="C1E4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C46960"/>
    <w:multiLevelType w:val="hybridMultilevel"/>
    <w:tmpl w:val="D146EC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1C7EA8"/>
    <w:multiLevelType w:val="hybridMultilevel"/>
    <w:tmpl w:val="B38A3E4E"/>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33033019"/>
    <w:multiLevelType w:val="hybridMultilevel"/>
    <w:tmpl w:val="DD1E8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BC6387"/>
    <w:multiLevelType w:val="hybridMultilevel"/>
    <w:tmpl w:val="AAD0740C"/>
    <w:lvl w:ilvl="0" w:tplc="8370FFAE">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5A954E4"/>
    <w:multiLevelType w:val="hybridMultilevel"/>
    <w:tmpl w:val="E6BE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760A59"/>
    <w:multiLevelType w:val="hybridMultilevel"/>
    <w:tmpl w:val="505060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E021ADE"/>
    <w:multiLevelType w:val="hybridMultilevel"/>
    <w:tmpl w:val="C140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AD22AC"/>
    <w:multiLevelType w:val="hybridMultilevel"/>
    <w:tmpl w:val="41D63834"/>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44E304FC"/>
    <w:multiLevelType w:val="hybridMultilevel"/>
    <w:tmpl w:val="E81401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5AA3CB4"/>
    <w:multiLevelType w:val="hybridMultilevel"/>
    <w:tmpl w:val="09BAA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DA7F60"/>
    <w:multiLevelType w:val="hybridMultilevel"/>
    <w:tmpl w:val="ADF41E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46283323"/>
    <w:multiLevelType w:val="hybridMultilevel"/>
    <w:tmpl w:val="18D0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C83185"/>
    <w:multiLevelType w:val="hybridMultilevel"/>
    <w:tmpl w:val="F8E2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F0C88"/>
    <w:multiLevelType w:val="hybridMultilevel"/>
    <w:tmpl w:val="D41CD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6142D4"/>
    <w:multiLevelType w:val="hybridMultilevel"/>
    <w:tmpl w:val="EE1E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AF424B"/>
    <w:multiLevelType w:val="hybridMultilevel"/>
    <w:tmpl w:val="C1DEF5E2"/>
    <w:lvl w:ilvl="0" w:tplc="78C0D582">
      <w:start w:val="1"/>
      <w:numFmt w:val="bullet"/>
      <w:lvlText w:val=""/>
      <w:lvlJc w:val="left"/>
      <w:pPr>
        <w:ind w:left="644" w:hanging="360"/>
      </w:pPr>
      <w:rPr>
        <w:rFonts w:ascii="Wingdings" w:hAnsi="Wingdings" w:hint="default"/>
        <w:color w:val="auto"/>
        <w:sz w:val="22"/>
        <w:szCs w:val="22"/>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4E223143"/>
    <w:multiLevelType w:val="hybridMultilevel"/>
    <w:tmpl w:val="36B67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677304"/>
    <w:multiLevelType w:val="hybridMultilevel"/>
    <w:tmpl w:val="584A7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F8F699B"/>
    <w:multiLevelType w:val="hybridMultilevel"/>
    <w:tmpl w:val="3AF4E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290BBE"/>
    <w:multiLevelType w:val="hybridMultilevel"/>
    <w:tmpl w:val="6ACEDC84"/>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504E77F7"/>
    <w:multiLevelType w:val="hybridMultilevel"/>
    <w:tmpl w:val="018A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2244BC"/>
    <w:multiLevelType w:val="hybridMultilevel"/>
    <w:tmpl w:val="6588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DC70EB"/>
    <w:multiLevelType w:val="hybridMultilevel"/>
    <w:tmpl w:val="648823E8"/>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7" w15:restartNumberingAfterBreak="0">
    <w:nsid w:val="5F1B5CF2"/>
    <w:multiLevelType w:val="hybridMultilevel"/>
    <w:tmpl w:val="D398131E"/>
    <w:lvl w:ilvl="0" w:tplc="DA242EF0">
      <w:start w:val="1"/>
      <w:numFmt w:val="bullet"/>
      <w:lvlText w:val=""/>
      <w:lvlJc w:val="left"/>
      <w:pPr>
        <w:ind w:left="644" w:hanging="360"/>
      </w:pPr>
      <w:rPr>
        <w:rFonts w:ascii="Wingdings" w:hAnsi="Wingdings" w:hint="default"/>
        <w:color w:val="auto"/>
        <w:sz w:val="22"/>
        <w:szCs w:val="2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60A5655C"/>
    <w:multiLevelType w:val="hybridMultilevel"/>
    <w:tmpl w:val="4446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D93E23"/>
    <w:multiLevelType w:val="hybridMultilevel"/>
    <w:tmpl w:val="9BCA40B0"/>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0" w15:restartNumberingAfterBreak="0">
    <w:nsid w:val="639C1BBE"/>
    <w:multiLevelType w:val="hybridMultilevel"/>
    <w:tmpl w:val="5DE82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65A11DBF"/>
    <w:multiLevelType w:val="hybridMultilevel"/>
    <w:tmpl w:val="AFA03316"/>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67562C02"/>
    <w:multiLevelType w:val="hybridMultilevel"/>
    <w:tmpl w:val="03F2B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2160F0"/>
    <w:multiLevelType w:val="hybridMultilevel"/>
    <w:tmpl w:val="44A24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EA3BF4"/>
    <w:multiLevelType w:val="hybridMultilevel"/>
    <w:tmpl w:val="7BEECAB2"/>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15:restartNumberingAfterBreak="0">
    <w:nsid w:val="73107305"/>
    <w:multiLevelType w:val="multilevel"/>
    <w:tmpl w:val="8242B862"/>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6" w15:restartNumberingAfterBreak="0">
    <w:nsid w:val="741A600B"/>
    <w:multiLevelType w:val="hybridMultilevel"/>
    <w:tmpl w:val="BD145346"/>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7" w15:restartNumberingAfterBreak="0">
    <w:nsid w:val="795C0C6A"/>
    <w:multiLevelType w:val="hybridMultilevel"/>
    <w:tmpl w:val="E280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944856">
    <w:abstractNumId w:val="55"/>
    <w:lvlOverride w:ilvl="0">
      <w:lvl w:ilvl="0">
        <w:start w:val="1"/>
        <w:numFmt w:val="bullet"/>
        <w:pStyle w:val="Bullet1"/>
        <w:lvlText w:val=""/>
        <w:lvlJc w:val="left"/>
        <w:pPr>
          <w:ind w:left="284" w:hanging="284"/>
        </w:pPr>
        <w:rPr>
          <w:rFonts w:ascii="Symbol" w:hAnsi="Symbol" w:hint="default"/>
          <w:color w:val="auto"/>
          <w:sz w:val="22"/>
          <w:szCs w:val="22"/>
        </w:rPr>
      </w:lvl>
    </w:lvlOverride>
    <w:lvlOverride w:ilvl="6">
      <w:lvl w:ilvl="6">
        <w:start w:val="1"/>
        <w:numFmt w:val="decimal"/>
        <w:lvlText w:val="%7."/>
        <w:lvlJc w:val="left"/>
        <w:pPr>
          <w:ind w:left="284" w:hanging="284"/>
        </w:pPr>
        <w:rPr>
          <w:rFonts w:hint="default"/>
        </w:rPr>
      </w:lvl>
    </w:lvlOverride>
  </w:num>
  <w:num w:numId="2" w16cid:durableId="401296168">
    <w:abstractNumId w:val="9"/>
  </w:num>
  <w:num w:numId="3" w16cid:durableId="377240805">
    <w:abstractNumId w:val="23"/>
  </w:num>
  <w:num w:numId="4" w16cid:durableId="1803309632">
    <w:abstractNumId w:val="45"/>
  </w:num>
  <w:num w:numId="5" w16cid:durableId="2136479482">
    <w:abstractNumId w:val="46"/>
  </w:num>
  <w:num w:numId="6" w16cid:durableId="1330907972">
    <w:abstractNumId w:val="41"/>
  </w:num>
  <w:num w:numId="7" w16cid:durableId="242954632">
    <w:abstractNumId w:val="54"/>
  </w:num>
  <w:num w:numId="8" w16cid:durableId="1615944557">
    <w:abstractNumId w:val="22"/>
  </w:num>
  <w:num w:numId="9" w16cid:durableId="99109859">
    <w:abstractNumId w:val="5"/>
  </w:num>
  <w:num w:numId="10" w16cid:durableId="572741926">
    <w:abstractNumId w:val="47"/>
  </w:num>
  <w:num w:numId="11" w16cid:durableId="1334189533">
    <w:abstractNumId w:val="51"/>
  </w:num>
  <w:num w:numId="12" w16cid:durableId="1757507881">
    <w:abstractNumId w:val="37"/>
  </w:num>
  <w:num w:numId="13" w16cid:durableId="467435030">
    <w:abstractNumId w:val="56"/>
  </w:num>
  <w:num w:numId="14" w16cid:durableId="1581450652">
    <w:abstractNumId w:val="44"/>
  </w:num>
  <w:num w:numId="15" w16cid:durableId="1931347085">
    <w:abstractNumId w:val="32"/>
  </w:num>
  <w:num w:numId="16" w16cid:durableId="1315137670">
    <w:abstractNumId w:val="18"/>
  </w:num>
  <w:num w:numId="17" w16cid:durableId="1857377649">
    <w:abstractNumId w:val="11"/>
  </w:num>
  <w:num w:numId="18" w16cid:durableId="315230514">
    <w:abstractNumId w:val="52"/>
  </w:num>
  <w:num w:numId="19" w16cid:durableId="1921940551">
    <w:abstractNumId w:val="6"/>
  </w:num>
  <w:num w:numId="20" w16cid:durableId="1850869574">
    <w:abstractNumId w:val="35"/>
  </w:num>
  <w:num w:numId="21" w16cid:durableId="1282109598">
    <w:abstractNumId w:val="26"/>
  </w:num>
  <w:num w:numId="22" w16cid:durableId="560333363">
    <w:abstractNumId w:val="0"/>
  </w:num>
  <w:num w:numId="23" w16cid:durableId="1123108526">
    <w:abstractNumId w:val="40"/>
  </w:num>
  <w:num w:numId="24" w16cid:durableId="2114594192">
    <w:abstractNumId w:val="39"/>
  </w:num>
  <w:num w:numId="25" w16cid:durableId="1609853615">
    <w:abstractNumId w:val="20"/>
  </w:num>
  <w:num w:numId="26" w16cid:durableId="1667055386">
    <w:abstractNumId w:val="2"/>
  </w:num>
  <w:num w:numId="27" w16cid:durableId="1569724724">
    <w:abstractNumId w:val="29"/>
  </w:num>
  <w:num w:numId="28" w16cid:durableId="1550994143">
    <w:abstractNumId w:val="4"/>
  </w:num>
  <w:num w:numId="29" w16cid:durableId="1545214647">
    <w:abstractNumId w:val="8"/>
  </w:num>
  <w:num w:numId="30" w16cid:durableId="605892724">
    <w:abstractNumId w:val="3"/>
  </w:num>
  <w:num w:numId="31" w16cid:durableId="725496708">
    <w:abstractNumId w:val="17"/>
  </w:num>
  <w:num w:numId="32" w16cid:durableId="372115163">
    <w:abstractNumId w:val="19"/>
  </w:num>
  <w:num w:numId="33" w16cid:durableId="1217161770">
    <w:abstractNumId w:val="12"/>
  </w:num>
  <w:num w:numId="34" w16cid:durableId="756487922">
    <w:abstractNumId w:val="53"/>
  </w:num>
  <w:num w:numId="35" w16cid:durableId="975916725">
    <w:abstractNumId w:val="38"/>
  </w:num>
  <w:num w:numId="36" w16cid:durableId="1292710906">
    <w:abstractNumId w:val="30"/>
  </w:num>
  <w:num w:numId="37" w16cid:durableId="431903240">
    <w:abstractNumId w:val="25"/>
  </w:num>
  <w:num w:numId="38" w16cid:durableId="1329943605">
    <w:abstractNumId w:val="27"/>
  </w:num>
  <w:num w:numId="39" w16cid:durableId="2074153214">
    <w:abstractNumId w:val="21"/>
  </w:num>
  <w:num w:numId="40" w16cid:durableId="806894720">
    <w:abstractNumId w:val="34"/>
  </w:num>
  <w:num w:numId="41" w16cid:durableId="783764584">
    <w:abstractNumId w:val="50"/>
  </w:num>
  <w:num w:numId="42" w16cid:durableId="590162904">
    <w:abstractNumId w:val="24"/>
  </w:num>
  <w:num w:numId="43" w16cid:durableId="1483158271">
    <w:abstractNumId w:val="15"/>
  </w:num>
  <w:num w:numId="44" w16cid:durableId="249898813">
    <w:abstractNumId w:val="55"/>
  </w:num>
  <w:num w:numId="45" w16cid:durableId="1584410866">
    <w:abstractNumId w:val="55"/>
  </w:num>
  <w:num w:numId="46" w16cid:durableId="1606036865">
    <w:abstractNumId w:val="55"/>
  </w:num>
  <w:num w:numId="47" w16cid:durableId="140928699">
    <w:abstractNumId w:val="55"/>
  </w:num>
  <w:num w:numId="48" w16cid:durableId="787967038">
    <w:abstractNumId w:val="55"/>
  </w:num>
  <w:num w:numId="49" w16cid:durableId="1839809461">
    <w:abstractNumId w:val="55"/>
  </w:num>
  <w:num w:numId="50" w16cid:durableId="12170080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51" w16cid:durableId="20817075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52" w16cid:durableId="1781295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53" w16cid:durableId="5338827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54" w16cid:durableId="19999629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55" w16cid:durableId="6174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56" w16cid:durableId="1078478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57" w16cid:durableId="17473386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58" w16cid:durableId="108863919">
    <w:abstractNumId w:val="55"/>
  </w:num>
  <w:num w:numId="59" w16cid:durableId="416560893">
    <w:abstractNumId w:val="55"/>
  </w:num>
  <w:num w:numId="60" w16cid:durableId="1322923302">
    <w:abstractNumId w:val="55"/>
  </w:num>
  <w:num w:numId="61" w16cid:durableId="1751464002">
    <w:abstractNumId w:val="10"/>
  </w:num>
  <w:num w:numId="62" w16cid:durableId="8573479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63" w16cid:durableId="599854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64" w16cid:durableId="3922359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65" w16cid:durableId="66726566">
    <w:abstractNumId w:val="49"/>
  </w:num>
  <w:num w:numId="66" w16cid:durableId="400951342">
    <w:abstractNumId w:val="7"/>
  </w:num>
  <w:num w:numId="67" w16cid:durableId="2007782098">
    <w:abstractNumId w:val="14"/>
  </w:num>
  <w:num w:numId="68" w16cid:durableId="940458243">
    <w:abstractNumId w:val="31"/>
  </w:num>
  <w:num w:numId="69" w16cid:durableId="2096126001">
    <w:abstractNumId w:val="13"/>
  </w:num>
  <w:num w:numId="70" w16cid:durableId="559363290">
    <w:abstractNumId w:val="43"/>
  </w:num>
  <w:num w:numId="71" w16cid:durableId="627324789">
    <w:abstractNumId w:val="33"/>
  </w:num>
  <w:num w:numId="72" w16cid:durableId="87238264">
    <w:abstractNumId w:val="57"/>
  </w:num>
  <w:num w:numId="73" w16cid:durableId="1937210718">
    <w:abstractNumId w:val="48"/>
  </w:num>
  <w:num w:numId="74" w16cid:durableId="1226649708">
    <w:abstractNumId w:val="42"/>
  </w:num>
  <w:num w:numId="75" w16cid:durableId="1863321016">
    <w:abstractNumId w:val="1"/>
  </w:num>
  <w:num w:numId="76" w16cid:durableId="602959734">
    <w:abstractNumId w:val="36"/>
  </w:num>
  <w:num w:numId="77" w16cid:durableId="2008509017">
    <w:abstractNumId w:val="16"/>
  </w:num>
  <w:num w:numId="78" w16cid:durableId="871382308">
    <w:abstractNumId w:val="2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30"/>
    <w:rsid w:val="0000096F"/>
    <w:rsid w:val="0000204C"/>
    <w:rsid w:val="00003FD0"/>
    <w:rsid w:val="000076BA"/>
    <w:rsid w:val="00011F0B"/>
    <w:rsid w:val="00013423"/>
    <w:rsid w:val="00014465"/>
    <w:rsid w:val="000200C6"/>
    <w:rsid w:val="00020C07"/>
    <w:rsid w:val="00023C4D"/>
    <w:rsid w:val="00024C7C"/>
    <w:rsid w:val="0002702D"/>
    <w:rsid w:val="0002752A"/>
    <w:rsid w:val="0002782F"/>
    <w:rsid w:val="00027D0F"/>
    <w:rsid w:val="000339EB"/>
    <w:rsid w:val="00034A20"/>
    <w:rsid w:val="00036D13"/>
    <w:rsid w:val="000426E0"/>
    <w:rsid w:val="0004541F"/>
    <w:rsid w:val="00045B81"/>
    <w:rsid w:val="0004651A"/>
    <w:rsid w:val="00054E3C"/>
    <w:rsid w:val="00054E4D"/>
    <w:rsid w:val="000551F9"/>
    <w:rsid w:val="00060073"/>
    <w:rsid w:val="000603C7"/>
    <w:rsid w:val="000642A4"/>
    <w:rsid w:val="000732B4"/>
    <w:rsid w:val="0007437B"/>
    <w:rsid w:val="00077382"/>
    <w:rsid w:val="00077A5A"/>
    <w:rsid w:val="00077B28"/>
    <w:rsid w:val="000829F4"/>
    <w:rsid w:val="00082BCB"/>
    <w:rsid w:val="000831EA"/>
    <w:rsid w:val="00087CF2"/>
    <w:rsid w:val="00092A2C"/>
    <w:rsid w:val="00096602"/>
    <w:rsid w:val="00096FDB"/>
    <w:rsid w:val="00096FF0"/>
    <w:rsid w:val="000970A2"/>
    <w:rsid w:val="000A1546"/>
    <w:rsid w:val="000A3E8D"/>
    <w:rsid w:val="000A4B30"/>
    <w:rsid w:val="000A6A8B"/>
    <w:rsid w:val="000B1B0B"/>
    <w:rsid w:val="000B1BEB"/>
    <w:rsid w:val="000B2CEC"/>
    <w:rsid w:val="000B4A84"/>
    <w:rsid w:val="000B5B40"/>
    <w:rsid w:val="000B69B4"/>
    <w:rsid w:val="000B6D5E"/>
    <w:rsid w:val="000C2A48"/>
    <w:rsid w:val="000C4382"/>
    <w:rsid w:val="000C5F75"/>
    <w:rsid w:val="000D367A"/>
    <w:rsid w:val="000D3CEA"/>
    <w:rsid w:val="000D5CD1"/>
    <w:rsid w:val="000D5ED7"/>
    <w:rsid w:val="000D60B1"/>
    <w:rsid w:val="000E3320"/>
    <w:rsid w:val="000E78EA"/>
    <w:rsid w:val="000E7A82"/>
    <w:rsid w:val="000F46BA"/>
    <w:rsid w:val="000F4CE6"/>
    <w:rsid w:val="000F572B"/>
    <w:rsid w:val="000F74BA"/>
    <w:rsid w:val="000F7EE1"/>
    <w:rsid w:val="00102EC7"/>
    <w:rsid w:val="00103DC8"/>
    <w:rsid w:val="00111130"/>
    <w:rsid w:val="00112B5B"/>
    <w:rsid w:val="00112DBE"/>
    <w:rsid w:val="00113F04"/>
    <w:rsid w:val="00115C57"/>
    <w:rsid w:val="001161CB"/>
    <w:rsid w:val="00117129"/>
    <w:rsid w:val="001175F1"/>
    <w:rsid w:val="001213A1"/>
    <w:rsid w:val="0012306C"/>
    <w:rsid w:val="00123B79"/>
    <w:rsid w:val="001245D6"/>
    <w:rsid w:val="00126A9C"/>
    <w:rsid w:val="0013049C"/>
    <w:rsid w:val="0013403B"/>
    <w:rsid w:val="00136530"/>
    <w:rsid w:val="00137C2E"/>
    <w:rsid w:val="0014170D"/>
    <w:rsid w:val="00143B4F"/>
    <w:rsid w:val="00151346"/>
    <w:rsid w:val="0015175D"/>
    <w:rsid w:val="001528EB"/>
    <w:rsid w:val="0015368B"/>
    <w:rsid w:val="001541EA"/>
    <w:rsid w:val="001555BB"/>
    <w:rsid w:val="00157946"/>
    <w:rsid w:val="00160A16"/>
    <w:rsid w:val="001612A4"/>
    <w:rsid w:val="001669C7"/>
    <w:rsid w:val="00172234"/>
    <w:rsid w:val="00173A61"/>
    <w:rsid w:val="00177008"/>
    <w:rsid w:val="001821BB"/>
    <w:rsid w:val="001842AA"/>
    <w:rsid w:val="001859CF"/>
    <w:rsid w:val="00186B15"/>
    <w:rsid w:val="00187406"/>
    <w:rsid w:val="00190FD9"/>
    <w:rsid w:val="00192CA2"/>
    <w:rsid w:val="00193FD4"/>
    <w:rsid w:val="00196C1E"/>
    <w:rsid w:val="001A3F56"/>
    <w:rsid w:val="001A6B66"/>
    <w:rsid w:val="001B03AA"/>
    <w:rsid w:val="001B0601"/>
    <w:rsid w:val="001B40F3"/>
    <w:rsid w:val="001C11A4"/>
    <w:rsid w:val="001C3D63"/>
    <w:rsid w:val="001D1656"/>
    <w:rsid w:val="001D1B88"/>
    <w:rsid w:val="001D26E9"/>
    <w:rsid w:val="001D392B"/>
    <w:rsid w:val="001D3DE4"/>
    <w:rsid w:val="001D4B37"/>
    <w:rsid w:val="001D5326"/>
    <w:rsid w:val="001D7EB4"/>
    <w:rsid w:val="001E1DC0"/>
    <w:rsid w:val="001E4137"/>
    <w:rsid w:val="001E4436"/>
    <w:rsid w:val="001E5408"/>
    <w:rsid w:val="001E59DE"/>
    <w:rsid w:val="001F68B8"/>
    <w:rsid w:val="00200486"/>
    <w:rsid w:val="0020091C"/>
    <w:rsid w:val="0020114B"/>
    <w:rsid w:val="0020122A"/>
    <w:rsid w:val="0020334F"/>
    <w:rsid w:val="00203618"/>
    <w:rsid w:val="00206530"/>
    <w:rsid w:val="00207470"/>
    <w:rsid w:val="00210498"/>
    <w:rsid w:val="00214282"/>
    <w:rsid w:val="002159C1"/>
    <w:rsid w:val="00221343"/>
    <w:rsid w:val="00221BA1"/>
    <w:rsid w:val="00223CA9"/>
    <w:rsid w:val="00226148"/>
    <w:rsid w:val="002333E7"/>
    <w:rsid w:val="00233D5D"/>
    <w:rsid w:val="002347F7"/>
    <w:rsid w:val="0023516A"/>
    <w:rsid w:val="00240936"/>
    <w:rsid w:val="002414D2"/>
    <w:rsid w:val="00242FB2"/>
    <w:rsid w:val="00244C24"/>
    <w:rsid w:val="00247C4D"/>
    <w:rsid w:val="00250352"/>
    <w:rsid w:val="00252778"/>
    <w:rsid w:val="002541DA"/>
    <w:rsid w:val="00254293"/>
    <w:rsid w:val="00254A11"/>
    <w:rsid w:val="00262FAB"/>
    <w:rsid w:val="00265975"/>
    <w:rsid w:val="00266926"/>
    <w:rsid w:val="00270A42"/>
    <w:rsid w:val="0027564E"/>
    <w:rsid w:val="00275DFC"/>
    <w:rsid w:val="00277A8C"/>
    <w:rsid w:val="00285438"/>
    <w:rsid w:val="0028602A"/>
    <w:rsid w:val="00287DD6"/>
    <w:rsid w:val="0029138A"/>
    <w:rsid w:val="002A05BE"/>
    <w:rsid w:val="002A0688"/>
    <w:rsid w:val="002A0CA3"/>
    <w:rsid w:val="002A1774"/>
    <w:rsid w:val="002A349D"/>
    <w:rsid w:val="002A6894"/>
    <w:rsid w:val="002B0974"/>
    <w:rsid w:val="002B12BB"/>
    <w:rsid w:val="002B17A3"/>
    <w:rsid w:val="002B329D"/>
    <w:rsid w:val="002B6F4C"/>
    <w:rsid w:val="002B7879"/>
    <w:rsid w:val="002C39DC"/>
    <w:rsid w:val="002C7A75"/>
    <w:rsid w:val="002D772F"/>
    <w:rsid w:val="002E574C"/>
    <w:rsid w:val="002E61B5"/>
    <w:rsid w:val="002F0578"/>
    <w:rsid w:val="002F173B"/>
    <w:rsid w:val="002F1FB7"/>
    <w:rsid w:val="002F4EF9"/>
    <w:rsid w:val="002F5017"/>
    <w:rsid w:val="002F51BA"/>
    <w:rsid w:val="002F5FEF"/>
    <w:rsid w:val="002F7F61"/>
    <w:rsid w:val="00300736"/>
    <w:rsid w:val="00301144"/>
    <w:rsid w:val="00301F16"/>
    <w:rsid w:val="00303B10"/>
    <w:rsid w:val="0030719E"/>
    <w:rsid w:val="003072C6"/>
    <w:rsid w:val="003148B7"/>
    <w:rsid w:val="003158C3"/>
    <w:rsid w:val="00315CEA"/>
    <w:rsid w:val="00316811"/>
    <w:rsid w:val="003238F0"/>
    <w:rsid w:val="00324C77"/>
    <w:rsid w:val="003267FD"/>
    <w:rsid w:val="003274CD"/>
    <w:rsid w:val="00342406"/>
    <w:rsid w:val="0034243C"/>
    <w:rsid w:val="003443AD"/>
    <w:rsid w:val="00344A3D"/>
    <w:rsid w:val="00345E3D"/>
    <w:rsid w:val="00347753"/>
    <w:rsid w:val="00350CC2"/>
    <w:rsid w:val="0035119D"/>
    <w:rsid w:val="00353D2A"/>
    <w:rsid w:val="003562B0"/>
    <w:rsid w:val="00357A8C"/>
    <w:rsid w:val="003622D5"/>
    <w:rsid w:val="00370346"/>
    <w:rsid w:val="0037209C"/>
    <w:rsid w:val="003726A7"/>
    <w:rsid w:val="00375B76"/>
    <w:rsid w:val="0037640B"/>
    <w:rsid w:val="00380C67"/>
    <w:rsid w:val="003847D0"/>
    <w:rsid w:val="00385F35"/>
    <w:rsid w:val="00385F46"/>
    <w:rsid w:val="00390484"/>
    <w:rsid w:val="00391AC0"/>
    <w:rsid w:val="003A015E"/>
    <w:rsid w:val="003A0E85"/>
    <w:rsid w:val="003A464A"/>
    <w:rsid w:val="003A71C5"/>
    <w:rsid w:val="003B3A32"/>
    <w:rsid w:val="003B3A97"/>
    <w:rsid w:val="003B4F12"/>
    <w:rsid w:val="003B5640"/>
    <w:rsid w:val="003C0E5E"/>
    <w:rsid w:val="003C4EE7"/>
    <w:rsid w:val="003C554E"/>
    <w:rsid w:val="003C6791"/>
    <w:rsid w:val="003C73F4"/>
    <w:rsid w:val="003D073F"/>
    <w:rsid w:val="003D0E43"/>
    <w:rsid w:val="003D76D1"/>
    <w:rsid w:val="003E03C9"/>
    <w:rsid w:val="003E1212"/>
    <w:rsid w:val="003E3BC0"/>
    <w:rsid w:val="003E702A"/>
    <w:rsid w:val="003F108B"/>
    <w:rsid w:val="003F5B33"/>
    <w:rsid w:val="00402805"/>
    <w:rsid w:val="00402A55"/>
    <w:rsid w:val="00403A59"/>
    <w:rsid w:val="00404933"/>
    <w:rsid w:val="00407593"/>
    <w:rsid w:val="00410454"/>
    <w:rsid w:val="00413721"/>
    <w:rsid w:val="004156F1"/>
    <w:rsid w:val="00415A23"/>
    <w:rsid w:val="00420935"/>
    <w:rsid w:val="00423F31"/>
    <w:rsid w:val="00431899"/>
    <w:rsid w:val="00434B95"/>
    <w:rsid w:val="004367D9"/>
    <w:rsid w:val="00437C1D"/>
    <w:rsid w:val="00437E87"/>
    <w:rsid w:val="004408BA"/>
    <w:rsid w:val="0044090A"/>
    <w:rsid w:val="00442CC0"/>
    <w:rsid w:val="00443CD7"/>
    <w:rsid w:val="00444633"/>
    <w:rsid w:val="004461F2"/>
    <w:rsid w:val="00446410"/>
    <w:rsid w:val="00447D9A"/>
    <w:rsid w:val="00447EC0"/>
    <w:rsid w:val="00450626"/>
    <w:rsid w:val="004506C1"/>
    <w:rsid w:val="00451821"/>
    <w:rsid w:val="00454C37"/>
    <w:rsid w:val="004571A3"/>
    <w:rsid w:val="00464063"/>
    <w:rsid w:val="004643A1"/>
    <w:rsid w:val="00465B12"/>
    <w:rsid w:val="004708B0"/>
    <w:rsid w:val="00470915"/>
    <w:rsid w:val="0047375E"/>
    <w:rsid w:val="0047450D"/>
    <w:rsid w:val="0047466B"/>
    <w:rsid w:val="004826F2"/>
    <w:rsid w:val="00484B11"/>
    <w:rsid w:val="00486804"/>
    <w:rsid w:val="004869D1"/>
    <w:rsid w:val="00490D5E"/>
    <w:rsid w:val="00493933"/>
    <w:rsid w:val="00493FAA"/>
    <w:rsid w:val="00495F6D"/>
    <w:rsid w:val="00496A70"/>
    <w:rsid w:val="004A62C7"/>
    <w:rsid w:val="004A733C"/>
    <w:rsid w:val="004B04B1"/>
    <w:rsid w:val="004B3197"/>
    <w:rsid w:val="004B34F0"/>
    <w:rsid w:val="004B3775"/>
    <w:rsid w:val="004B4380"/>
    <w:rsid w:val="004B441D"/>
    <w:rsid w:val="004C1819"/>
    <w:rsid w:val="004C2A06"/>
    <w:rsid w:val="004C2B88"/>
    <w:rsid w:val="004C38D0"/>
    <w:rsid w:val="004D2FD4"/>
    <w:rsid w:val="004D3D31"/>
    <w:rsid w:val="004D5130"/>
    <w:rsid w:val="004D5859"/>
    <w:rsid w:val="004E058F"/>
    <w:rsid w:val="004E217F"/>
    <w:rsid w:val="004E305E"/>
    <w:rsid w:val="004E3B87"/>
    <w:rsid w:val="004E586C"/>
    <w:rsid w:val="004E785D"/>
    <w:rsid w:val="004F166C"/>
    <w:rsid w:val="004F1DCA"/>
    <w:rsid w:val="004F29BC"/>
    <w:rsid w:val="004F5371"/>
    <w:rsid w:val="005070CB"/>
    <w:rsid w:val="0051041E"/>
    <w:rsid w:val="00510921"/>
    <w:rsid w:val="00510AD3"/>
    <w:rsid w:val="00513348"/>
    <w:rsid w:val="005172DB"/>
    <w:rsid w:val="005173BF"/>
    <w:rsid w:val="005202B2"/>
    <w:rsid w:val="0052515D"/>
    <w:rsid w:val="00531490"/>
    <w:rsid w:val="0053352C"/>
    <w:rsid w:val="00533B5D"/>
    <w:rsid w:val="00533C0C"/>
    <w:rsid w:val="005342A4"/>
    <w:rsid w:val="00535344"/>
    <w:rsid w:val="005472D7"/>
    <w:rsid w:val="00547C06"/>
    <w:rsid w:val="0055338E"/>
    <w:rsid w:val="00554E6C"/>
    <w:rsid w:val="005558DF"/>
    <w:rsid w:val="0055631F"/>
    <w:rsid w:val="0055684A"/>
    <w:rsid w:val="005570E8"/>
    <w:rsid w:val="005637C9"/>
    <w:rsid w:val="00564627"/>
    <w:rsid w:val="0056613F"/>
    <w:rsid w:val="005740BD"/>
    <w:rsid w:val="00576566"/>
    <w:rsid w:val="00581533"/>
    <w:rsid w:val="00581851"/>
    <w:rsid w:val="00581D4B"/>
    <w:rsid w:val="0058208F"/>
    <w:rsid w:val="005832E2"/>
    <w:rsid w:val="00585EB6"/>
    <w:rsid w:val="00586996"/>
    <w:rsid w:val="005970EA"/>
    <w:rsid w:val="005A13A2"/>
    <w:rsid w:val="005A182D"/>
    <w:rsid w:val="005A7E9D"/>
    <w:rsid w:val="005B3E26"/>
    <w:rsid w:val="005B5B79"/>
    <w:rsid w:val="005B745B"/>
    <w:rsid w:val="005C37F0"/>
    <w:rsid w:val="005D2D36"/>
    <w:rsid w:val="005D3E0C"/>
    <w:rsid w:val="005D6781"/>
    <w:rsid w:val="005E111A"/>
    <w:rsid w:val="005E494C"/>
    <w:rsid w:val="005E58A6"/>
    <w:rsid w:val="005E664C"/>
    <w:rsid w:val="005E7008"/>
    <w:rsid w:val="005F1D39"/>
    <w:rsid w:val="005F56E0"/>
    <w:rsid w:val="00601E46"/>
    <w:rsid w:val="00602110"/>
    <w:rsid w:val="00611561"/>
    <w:rsid w:val="00613CEE"/>
    <w:rsid w:val="00614094"/>
    <w:rsid w:val="006164CC"/>
    <w:rsid w:val="00617C50"/>
    <w:rsid w:val="00621D4F"/>
    <w:rsid w:val="00623BA1"/>
    <w:rsid w:val="00626B75"/>
    <w:rsid w:val="0063036A"/>
    <w:rsid w:val="006346BC"/>
    <w:rsid w:val="0064252C"/>
    <w:rsid w:val="00645155"/>
    <w:rsid w:val="006504AC"/>
    <w:rsid w:val="00650C5C"/>
    <w:rsid w:val="006513E2"/>
    <w:rsid w:val="00655917"/>
    <w:rsid w:val="00657D64"/>
    <w:rsid w:val="00664FF9"/>
    <w:rsid w:val="00666291"/>
    <w:rsid w:val="0066652A"/>
    <w:rsid w:val="00667DDF"/>
    <w:rsid w:val="0067187A"/>
    <w:rsid w:val="0067282B"/>
    <w:rsid w:val="00673BD0"/>
    <w:rsid w:val="00681C48"/>
    <w:rsid w:val="00681C96"/>
    <w:rsid w:val="00681CEF"/>
    <w:rsid w:val="00682167"/>
    <w:rsid w:val="00682B39"/>
    <w:rsid w:val="00682D12"/>
    <w:rsid w:val="00683201"/>
    <w:rsid w:val="006876A3"/>
    <w:rsid w:val="0069120D"/>
    <w:rsid w:val="00696E84"/>
    <w:rsid w:val="006A1B42"/>
    <w:rsid w:val="006A3FD1"/>
    <w:rsid w:val="006A57D8"/>
    <w:rsid w:val="006C42AF"/>
    <w:rsid w:val="006C4A63"/>
    <w:rsid w:val="006C4DD1"/>
    <w:rsid w:val="006C5BB2"/>
    <w:rsid w:val="006D1956"/>
    <w:rsid w:val="006E2879"/>
    <w:rsid w:val="006E2A7D"/>
    <w:rsid w:val="006E748E"/>
    <w:rsid w:val="006F3D84"/>
    <w:rsid w:val="006F58E3"/>
    <w:rsid w:val="00703427"/>
    <w:rsid w:val="00710D2B"/>
    <w:rsid w:val="00711D8E"/>
    <w:rsid w:val="00712672"/>
    <w:rsid w:val="00714775"/>
    <w:rsid w:val="00715E07"/>
    <w:rsid w:val="007161CB"/>
    <w:rsid w:val="00722E03"/>
    <w:rsid w:val="0072435D"/>
    <w:rsid w:val="00724B0C"/>
    <w:rsid w:val="0073377A"/>
    <w:rsid w:val="00734E3F"/>
    <w:rsid w:val="00735554"/>
    <w:rsid w:val="00736985"/>
    <w:rsid w:val="00736E5E"/>
    <w:rsid w:val="00737A13"/>
    <w:rsid w:val="007456DC"/>
    <w:rsid w:val="0075109B"/>
    <w:rsid w:val="00755521"/>
    <w:rsid w:val="00760070"/>
    <w:rsid w:val="00760251"/>
    <w:rsid w:val="007624F9"/>
    <w:rsid w:val="007639D9"/>
    <w:rsid w:val="00763FED"/>
    <w:rsid w:val="00767E5C"/>
    <w:rsid w:val="00770FA9"/>
    <w:rsid w:val="00771911"/>
    <w:rsid w:val="00773703"/>
    <w:rsid w:val="0077426E"/>
    <w:rsid w:val="00775F2D"/>
    <w:rsid w:val="00776841"/>
    <w:rsid w:val="00781EAF"/>
    <w:rsid w:val="007821BD"/>
    <w:rsid w:val="00782B7D"/>
    <w:rsid w:val="00782F9C"/>
    <w:rsid w:val="007840C3"/>
    <w:rsid w:val="00790969"/>
    <w:rsid w:val="00791FCC"/>
    <w:rsid w:val="00795616"/>
    <w:rsid w:val="007A074A"/>
    <w:rsid w:val="007A34CB"/>
    <w:rsid w:val="007A6D6F"/>
    <w:rsid w:val="007B44E9"/>
    <w:rsid w:val="007B4E97"/>
    <w:rsid w:val="007B4F57"/>
    <w:rsid w:val="007B5B64"/>
    <w:rsid w:val="007B6200"/>
    <w:rsid w:val="007C1545"/>
    <w:rsid w:val="007C1BAC"/>
    <w:rsid w:val="007C2B5F"/>
    <w:rsid w:val="007C37B3"/>
    <w:rsid w:val="007C4E4D"/>
    <w:rsid w:val="007D05CF"/>
    <w:rsid w:val="007D209A"/>
    <w:rsid w:val="007D234A"/>
    <w:rsid w:val="007D29A5"/>
    <w:rsid w:val="007D29D9"/>
    <w:rsid w:val="007D4B37"/>
    <w:rsid w:val="007D777F"/>
    <w:rsid w:val="007E1681"/>
    <w:rsid w:val="007E5230"/>
    <w:rsid w:val="007F0723"/>
    <w:rsid w:val="007F3825"/>
    <w:rsid w:val="00800457"/>
    <w:rsid w:val="00801B9F"/>
    <w:rsid w:val="00802BE5"/>
    <w:rsid w:val="0080649D"/>
    <w:rsid w:val="00806955"/>
    <w:rsid w:val="0081401A"/>
    <w:rsid w:val="00816E17"/>
    <w:rsid w:val="008216C4"/>
    <w:rsid w:val="0082357E"/>
    <w:rsid w:val="0082589D"/>
    <w:rsid w:val="00825D8D"/>
    <w:rsid w:val="00835A96"/>
    <w:rsid w:val="0084075B"/>
    <w:rsid w:val="00840D3E"/>
    <w:rsid w:val="008410A0"/>
    <w:rsid w:val="00844888"/>
    <w:rsid w:val="00851BD7"/>
    <w:rsid w:val="0086240A"/>
    <w:rsid w:val="0086326C"/>
    <w:rsid w:val="0086402E"/>
    <w:rsid w:val="0086554A"/>
    <w:rsid w:val="00873059"/>
    <w:rsid w:val="008751F9"/>
    <w:rsid w:val="008801F6"/>
    <w:rsid w:val="00880B3F"/>
    <w:rsid w:val="00882DEA"/>
    <w:rsid w:val="00884D54"/>
    <w:rsid w:val="008915F8"/>
    <w:rsid w:val="00892B4A"/>
    <w:rsid w:val="00892E63"/>
    <w:rsid w:val="008930BA"/>
    <w:rsid w:val="0089545C"/>
    <w:rsid w:val="00895FF1"/>
    <w:rsid w:val="00897DB4"/>
    <w:rsid w:val="008A6C5B"/>
    <w:rsid w:val="008B542E"/>
    <w:rsid w:val="008B62C7"/>
    <w:rsid w:val="008B73AD"/>
    <w:rsid w:val="008C00E7"/>
    <w:rsid w:val="008C612B"/>
    <w:rsid w:val="008D4A99"/>
    <w:rsid w:val="008D5812"/>
    <w:rsid w:val="008E0D17"/>
    <w:rsid w:val="008E3A0E"/>
    <w:rsid w:val="008E5560"/>
    <w:rsid w:val="008E5B4D"/>
    <w:rsid w:val="008F034D"/>
    <w:rsid w:val="008F1D30"/>
    <w:rsid w:val="008F204E"/>
    <w:rsid w:val="008F2688"/>
    <w:rsid w:val="008F5AED"/>
    <w:rsid w:val="008F5B3A"/>
    <w:rsid w:val="008F60DD"/>
    <w:rsid w:val="00901F65"/>
    <w:rsid w:val="0090309A"/>
    <w:rsid w:val="00903F99"/>
    <w:rsid w:val="009041EB"/>
    <w:rsid w:val="009069C4"/>
    <w:rsid w:val="009150FF"/>
    <w:rsid w:val="0091552D"/>
    <w:rsid w:val="0092670C"/>
    <w:rsid w:val="00927179"/>
    <w:rsid w:val="00931EEA"/>
    <w:rsid w:val="00933A15"/>
    <w:rsid w:val="0093540B"/>
    <w:rsid w:val="00936B84"/>
    <w:rsid w:val="00940867"/>
    <w:rsid w:val="009434F1"/>
    <w:rsid w:val="009472B0"/>
    <w:rsid w:val="0095355F"/>
    <w:rsid w:val="009537C6"/>
    <w:rsid w:val="009601D7"/>
    <w:rsid w:val="00960D12"/>
    <w:rsid w:val="00961B6C"/>
    <w:rsid w:val="00964A4D"/>
    <w:rsid w:val="00965ED3"/>
    <w:rsid w:val="00966DE7"/>
    <w:rsid w:val="0097128D"/>
    <w:rsid w:val="0097133F"/>
    <w:rsid w:val="0097137F"/>
    <w:rsid w:val="00973A84"/>
    <w:rsid w:val="0097646F"/>
    <w:rsid w:val="009829CB"/>
    <w:rsid w:val="0098329E"/>
    <w:rsid w:val="009835C0"/>
    <w:rsid w:val="009855CA"/>
    <w:rsid w:val="00986E2D"/>
    <w:rsid w:val="009925AD"/>
    <w:rsid w:val="00996432"/>
    <w:rsid w:val="009A2DA7"/>
    <w:rsid w:val="009A3E61"/>
    <w:rsid w:val="009A4CD4"/>
    <w:rsid w:val="009A730C"/>
    <w:rsid w:val="009B4D3B"/>
    <w:rsid w:val="009B6573"/>
    <w:rsid w:val="009C0D26"/>
    <w:rsid w:val="009C2163"/>
    <w:rsid w:val="009C47C2"/>
    <w:rsid w:val="009D0B40"/>
    <w:rsid w:val="009D2CDD"/>
    <w:rsid w:val="009D6AF9"/>
    <w:rsid w:val="009D7407"/>
    <w:rsid w:val="009E0866"/>
    <w:rsid w:val="009E0E1D"/>
    <w:rsid w:val="009E0ED0"/>
    <w:rsid w:val="009E150B"/>
    <w:rsid w:val="009E1CAA"/>
    <w:rsid w:val="009E4699"/>
    <w:rsid w:val="009E5FCF"/>
    <w:rsid w:val="009F2AFE"/>
    <w:rsid w:val="00A03ABD"/>
    <w:rsid w:val="00A03FF3"/>
    <w:rsid w:val="00A07000"/>
    <w:rsid w:val="00A07E86"/>
    <w:rsid w:val="00A07F59"/>
    <w:rsid w:val="00A13043"/>
    <w:rsid w:val="00A14D7E"/>
    <w:rsid w:val="00A20DAC"/>
    <w:rsid w:val="00A20E8E"/>
    <w:rsid w:val="00A21201"/>
    <w:rsid w:val="00A215D6"/>
    <w:rsid w:val="00A2267F"/>
    <w:rsid w:val="00A228FF"/>
    <w:rsid w:val="00A24A62"/>
    <w:rsid w:val="00A26370"/>
    <w:rsid w:val="00A3139A"/>
    <w:rsid w:val="00A31C9F"/>
    <w:rsid w:val="00A344D4"/>
    <w:rsid w:val="00A5044F"/>
    <w:rsid w:val="00A51F14"/>
    <w:rsid w:val="00A528C4"/>
    <w:rsid w:val="00A542AD"/>
    <w:rsid w:val="00A623D6"/>
    <w:rsid w:val="00A662DA"/>
    <w:rsid w:val="00A6641F"/>
    <w:rsid w:val="00A70161"/>
    <w:rsid w:val="00A741AD"/>
    <w:rsid w:val="00A754D1"/>
    <w:rsid w:val="00A76EF4"/>
    <w:rsid w:val="00A8075D"/>
    <w:rsid w:val="00A82276"/>
    <w:rsid w:val="00A856BA"/>
    <w:rsid w:val="00A85900"/>
    <w:rsid w:val="00A85B59"/>
    <w:rsid w:val="00A925CF"/>
    <w:rsid w:val="00A9554A"/>
    <w:rsid w:val="00A95CE3"/>
    <w:rsid w:val="00A95EBA"/>
    <w:rsid w:val="00A95FBE"/>
    <w:rsid w:val="00A97188"/>
    <w:rsid w:val="00A97955"/>
    <w:rsid w:val="00A979C5"/>
    <w:rsid w:val="00A97A01"/>
    <w:rsid w:val="00AA1423"/>
    <w:rsid w:val="00AA1AEA"/>
    <w:rsid w:val="00AA1DD6"/>
    <w:rsid w:val="00AA27E1"/>
    <w:rsid w:val="00AA2AD8"/>
    <w:rsid w:val="00AA74CC"/>
    <w:rsid w:val="00AB01D2"/>
    <w:rsid w:val="00AB19CF"/>
    <w:rsid w:val="00AC164A"/>
    <w:rsid w:val="00AC238F"/>
    <w:rsid w:val="00AC355E"/>
    <w:rsid w:val="00AC4E46"/>
    <w:rsid w:val="00AD4B7D"/>
    <w:rsid w:val="00AD4F10"/>
    <w:rsid w:val="00AE0656"/>
    <w:rsid w:val="00AE2025"/>
    <w:rsid w:val="00AE34D1"/>
    <w:rsid w:val="00AF10BA"/>
    <w:rsid w:val="00AF2050"/>
    <w:rsid w:val="00AF785A"/>
    <w:rsid w:val="00B00CF2"/>
    <w:rsid w:val="00B012D5"/>
    <w:rsid w:val="00B061BF"/>
    <w:rsid w:val="00B1245C"/>
    <w:rsid w:val="00B13A20"/>
    <w:rsid w:val="00B13E35"/>
    <w:rsid w:val="00B21307"/>
    <w:rsid w:val="00B26360"/>
    <w:rsid w:val="00B27B49"/>
    <w:rsid w:val="00B27E02"/>
    <w:rsid w:val="00B313B9"/>
    <w:rsid w:val="00B31A5A"/>
    <w:rsid w:val="00B3421C"/>
    <w:rsid w:val="00B34559"/>
    <w:rsid w:val="00B34B0A"/>
    <w:rsid w:val="00B361F4"/>
    <w:rsid w:val="00B36910"/>
    <w:rsid w:val="00B37523"/>
    <w:rsid w:val="00B45CBA"/>
    <w:rsid w:val="00B4773F"/>
    <w:rsid w:val="00B47DFA"/>
    <w:rsid w:val="00B53014"/>
    <w:rsid w:val="00B60352"/>
    <w:rsid w:val="00B6317F"/>
    <w:rsid w:val="00B64716"/>
    <w:rsid w:val="00B64AAA"/>
    <w:rsid w:val="00B65BD5"/>
    <w:rsid w:val="00B67137"/>
    <w:rsid w:val="00B820BC"/>
    <w:rsid w:val="00B82BEB"/>
    <w:rsid w:val="00B9166F"/>
    <w:rsid w:val="00B95530"/>
    <w:rsid w:val="00B97B4E"/>
    <w:rsid w:val="00BA43EA"/>
    <w:rsid w:val="00BB221A"/>
    <w:rsid w:val="00BB26C5"/>
    <w:rsid w:val="00BB2D63"/>
    <w:rsid w:val="00BB47B5"/>
    <w:rsid w:val="00BB4995"/>
    <w:rsid w:val="00BB6627"/>
    <w:rsid w:val="00BC12A6"/>
    <w:rsid w:val="00BC1D66"/>
    <w:rsid w:val="00BC1F60"/>
    <w:rsid w:val="00BC39B2"/>
    <w:rsid w:val="00BD1ABB"/>
    <w:rsid w:val="00BD49A9"/>
    <w:rsid w:val="00BE5D78"/>
    <w:rsid w:val="00BE6A2B"/>
    <w:rsid w:val="00BF1CFB"/>
    <w:rsid w:val="00BF2475"/>
    <w:rsid w:val="00BF4B94"/>
    <w:rsid w:val="00BF4DE6"/>
    <w:rsid w:val="00BF77C3"/>
    <w:rsid w:val="00BF7B49"/>
    <w:rsid w:val="00C046FE"/>
    <w:rsid w:val="00C12335"/>
    <w:rsid w:val="00C13EA9"/>
    <w:rsid w:val="00C17ADF"/>
    <w:rsid w:val="00C23BBA"/>
    <w:rsid w:val="00C23EC0"/>
    <w:rsid w:val="00C246A8"/>
    <w:rsid w:val="00C25090"/>
    <w:rsid w:val="00C25273"/>
    <w:rsid w:val="00C27965"/>
    <w:rsid w:val="00C319C0"/>
    <w:rsid w:val="00C32579"/>
    <w:rsid w:val="00C32879"/>
    <w:rsid w:val="00C359A0"/>
    <w:rsid w:val="00C40D82"/>
    <w:rsid w:val="00C42CDE"/>
    <w:rsid w:val="00C44B77"/>
    <w:rsid w:val="00C44D13"/>
    <w:rsid w:val="00C46E5B"/>
    <w:rsid w:val="00C51B37"/>
    <w:rsid w:val="00C51EA0"/>
    <w:rsid w:val="00C53BBC"/>
    <w:rsid w:val="00C53D94"/>
    <w:rsid w:val="00C5476B"/>
    <w:rsid w:val="00C54C29"/>
    <w:rsid w:val="00C5655D"/>
    <w:rsid w:val="00C6064F"/>
    <w:rsid w:val="00C64B99"/>
    <w:rsid w:val="00C64F9B"/>
    <w:rsid w:val="00C65E46"/>
    <w:rsid w:val="00C72F36"/>
    <w:rsid w:val="00C7489B"/>
    <w:rsid w:val="00C76EA5"/>
    <w:rsid w:val="00C81EC8"/>
    <w:rsid w:val="00C82934"/>
    <w:rsid w:val="00C84DBA"/>
    <w:rsid w:val="00C92B01"/>
    <w:rsid w:val="00C947DC"/>
    <w:rsid w:val="00C95BA8"/>
    <w:rsid w:val="00C95E8E"/>
    <w:rsid w:val="00C978B0"/>
    <w:rsid w:val="00CA09B9"/>
    <w:rsid w:val="00CA37B1"/>
    <w:rsid w:val="00CA457D"/>
    <w:rsid w:val="00CA67A9"/>
    <w:rsid w:val="00CA6981"/>
    <w:rsid w:val="00CA7EC0"/>
    <w:rsid w:val="00CB10F1"/>
    <w:rsid w:val="00CB1959"/>
    <w:rsid w:val="00CB2157"/>
    <w:rsid w:val="00CB4340"/>
    <w:rsid w:val="00CB55CF"/>
    <w:rsid w:val="00CB669E"/>
    <w:rsid w:val="00CB78AC"/>
    <w:rsid w:val="00CC0BB2"/>
    <w:rsid w:val="00CC2E8C"/>
    <w:rsid w:val="00CC4102"/>
    <w:rsid w:val="00CC75B3"/>
    <w:rsid w:val="00CC7C21"/>
    <w:rsid w:val="00CD137C"/>
    <w:rsid w:val="00CD79C8"/>
    <w:rsid w:val="00CE2D83"/>
    <w:rsid w:val="00CE3437"/>
    <w:rsid w:val="00CF1C09"/>
    <w:rsid w:val="00CF27A5"/>
    <w:rsid w:val="00CF42FE"/>
    <w:rsid w:val="00CF75C9"/>
    <w:rsid w:val="00CF7E7D"/>
    <w:rsid w:val="00D01D40"/>
    <w:rsid w:val="00D021BB"/>
    <w:rsid w:val="00D0296C"/>
    <w:rsid w:val="00D03D6B"/>
    <w:rsid w:val="00D05A15"/>
    <w:rsid w:val="00D05B69"/>
    <w:rsid w:val="00D0641E"/>
    <w:rsid w:val="00D0776D"/>
    <w:rsid w:val="00D10F2B"/>
    <w:rsid w:val="00D14751"/>
    <w:rsid w:val="00D17597"/>
    <w:rsid w:val="00D20DAC"/>
    <w:rsid w:val="00D214CB"/>
    <w:rsid w:val="00D21F12"/>
    <w:rsid w:val="00D22869"/>
    <w:rsid w:val="00D26B17"/>
    <w:rsid w:val="00D314FA"/>
    <w:rsid w:val="00D33099"/>
    <w:rsid w:val="00D34328"/>
    <w:rsid w:val="00D34E41"/>
    <w:rsid w:val="00D35635"/>
    <w:rsid w:val="00D37D33"/>
    <w:rsid w:val="00D402B3"/>
    <w:rsid w:val="00D40CE4"/>
    <w:rsid w:val="00D42491"/>
    <w:rsid w:val="00D4275F"/>
    <w:rsid w:val="00D43E89"/>
    <w:rsid w:val="00D46C7E"/>
    <w:rsid w:val="00D46D82"/>
    <w:rsid w:val="00D502C9"/>
    <w:rsid w:val="00D51AB4"/>
    <w:rsid w:val="00D54585"/>
    <w:rsid w:val="00D57C12"/>
    <w:rsid w:val="00D60012"/>
    <w:rsid w:val="00D6100F"/>
    <w:rsid w:val="00D64DBD"/>
    <w:rsid w:val="00D6609A"/>
    <w:rsid w:val="00D701EB"/>
    <w:rsid w:val="00D73C35"/>
    <w:rsid w:val="00D7546E"/>
    <w:rsid w:val="00D755D5"/>
    <w:rsid w:val="00D94CAA"/>
    <w:rsid w:val="00D966D3"/>
    <w:rsid w:val="00D96D61"/>
    <w:rsid w:val="00DA1EE6"/>
    <w:rsid w:val="00DA4F94"/>
    <w:rsid w:val="00DA5471"/>
    <w:rsid w:val="00DA629D"/>
    <w:rsid w:val="00DA6486"/>
    <w:rsid w:val="00DA6DB2"/>
    <w:rsid w:val="00DA7A24"/>
    <w:rsid w:val="00DB1068"/>
    <w:rsid w:val="00DB34EB"/>
    <w:rsid w:val="00DB372E"/>
    <w:rsid w:val="00DB4001"/>
    <w:rsid w:val="00DB51AB"/>
    <w:rsid w:val="00DB6123"/>
    <w:rsid w:val="00DB61EA"/>
    <w:rsid w:val="00DB6D69"/>
    <w:rsid w:val="00DC03B6"/>
    <w:rsid w:val="00DC0CC4"/>
    <w:rsid w:val="00DC1582"/>
    <w:rsid w:val="00DC430B"/>
    <w:rsid w:val="00DC6FB0"/>
    <w:rsid w:val="00DD0AAB"/>
    <w:rsid w:val="00DD255D"/>
    <w:rsid w:val="00DD367C"/>
    <w:rsid w:val="00DD5FB8"/>
    <w:rsid w:val="00DD7F53"/>
    <w:rsid w:val="00DE0BB7"/>
    <w:rsid w:val="00DE1611"/>
    <w:rsid w:val="00DE70F4"/>
    <w:rsid w:val="00DE7164"/>
    <w:rsid w:val="00DF25F7"/>
    <w:rsid w:val="00DF265D"/>
    <w:rsid w:val="00DF2EB2"/>
    <w:rsid w:val="00DF39DB"/>
    <w:rsid w:val="00DF3E7C"/>
    <w:rsid w:val="00DF64EC"/>
    <w:rsid w:val="00DF6F3F"/>
    <w:rsid w:val="00E00636"/>
    <w:rsid w:val="00E070B5"/>
    <w:rsid w:val="00E16257"/>
    <w:rsid w:val="00E16694"/>
    <w:rsid w:val="00E21496"/>
    <w:rsid w:val="00E22BB9"/>
    <w:rsid w:val="00E23545"/>
    <w:rsid w:val="00E24669"/>
    <w:rsid w:val="00E250E9"/>
    <w:rsid w:val="00E253E6"/>
    <w:rsid w:val="00E3484D"/>
    <w:rsid w:val="00E357B7"/>
    <w:rsid w:val="00E3733F"/>
    <w:rsid w:val="00E44D53"/>
    <w:rsid w:val="00E46091"/>
    <w:rsid w:val="00E47683"/>
    <w:rsid w:val="00E523A1"/>
    <w:rsid w:val="00E53800"/>
    <w:rsid w:val="00E54ED8"/>
    <w:rsid w:val="00E57336"/>
    <w:rsid w:val="00E6081F"/>
    <w:rsid w:val="00E669F3"/>
    <w:rsid w:val="00E670ED"/>
    <w:rsid w:val="00E7629E"/>
    <w:rsid w:val="00E76946"/>
    <w:rsid w:val="00E76F8B"/>
    <w:rsid w:val="00E770D2"/>
    <w:rsid w:val="00E77C0A"/>
    <w:rsid w:val="00E8102D"/>
    <w:rsid w:val="00E8193F"/>
    <w:rsid w:val="00E81C82"/>
    <w:rsid w:val="00E830FC"/>
    <w:rsid w:val="00E8317A"/>
    <w:rsid w:val="00E84FF0"/>
    <w:rsid w:val="00E8632F"/>
    <w:rsid w:val="00E87F63"/>
    <w:rsid w:val="00E9644A"/>
    <w:rsid w:val="00EA04B2"/>
    <w:rsid w:val="00EA20F3"/>
    <w:rsid w:val="00EB2D3B"/>
    <w:rsid w:val="00EB6415"/>
    <w:rsid w:val="00EB662D"/>
    <w:rsid w:val="00EC0E8A"/>
    <w:rsid w:val="00EC147C"/>
    <w:rsid w:val="00EC1964"/>
    <w:rsid w:val="00EC22F0"/>
    <w:rsid w:val="00EC3B6B"/>
    <w:rsid w:val="00EC4C52"/>
    <w:rsid w:val="00EC4CB3"/>
    <w:rsid w:val="00ED0E99"/>
    <w:rsid w:val="00ED34E2"/>
    <w:rsid w:val="00ED43D1"/>
    <w:rsid w:val="00EE1B73"/>
    <w:rsid w:val="00EE27E9"/>
    <w:rsid w:val="00EE4EE1"/>
    <w:rsid w:val="00EE6839"/>
    <w:rsid w:val="00EF2A10"/>
    <w:rsid w:val="00EF2C0C"/>
    <w:rsid w:val="00EF2C2C"/>
    <w:rsid w:val="00EF4574"/>
    <w:rsid w:val="00EF6109"/>
    <w:rsid w:val="00F010A7"/>
    <w:rsid w:val="00F06C33"/>
    <w:rsid w:val="00F118FB"/>
    <w:rsid w:val="00F1679F"/>
    <w:rsid w:val="00F21620"/>
    <w:rsid w:val="00F2411A"/>
    <w:rsid w:val="00F261F0"/>
    <w:rsid w:val="00F2684E"/>
    <w:rsid w:val="00F2724C"/>
    <w:rsid w:val="00F34713"/>
    <w:rsid w:val="00F34834"/>
    <w:rsid w:val="00F36917"/>
    <w:rsid w:val="00F463FE"/>
    <w:rsid w:val="00F47C47"/>
    <w:rsid w:val="00F50CF4"/>
    <w:rsid w:val="00F519DB"/>
    <w:rsid w:val="00F53A33"/>
    <w:rsid w:val="00F56097"/>
    <w:rsid w:val="00F578B2"/>
    <w:rsid w:val="00F61FAC"/>
    <w:rsid w:val="00F6350D"/>
    <w:rsid w:val="00F6412C"/>
    <w:rsid w:val="00F6493D"/>
    <w:rsid w:val="00F654CF"/>
    <w:rsid w:val="00F659CE"/>
    <w:rsid w:val="00F668D2"/>
    <w:rsid w:val="00F66AE6"/>
    <w:rsid w:val="00F67908"/>
    <w:rsid w:val="00F71949"/>
    <w:rsid w:val="00F729EF"/>
    <w:rsid w:val="00F760E6"/>
    <w:rsid w:val="00F77153"/>
    <w:rsid w:val="00F77CAE"/>
    <w:rsid w:val="00F81E5F"/>
    <w:rsid w:val="00F86B47"/>
    <w:rsid w:val="00F87FBE"/>
    <w:rsid w:val="00F900FA"/>
    <w:rsid w:val="00F92671"/>
    <w:rsid w:val="00F94278"/>
    <w:rsid w:val="00F94A5B"/>
    <w:rsid w:val="00F96BB9"/>
    <w:rsid w:val="00FA1CD3"/>
    <w:rsid w:val="00FA43E6"/>
    <w:rsid w:val="00FA5469"/>
    <w:rsid w:val="00FB0127"/>
    <w:rsid w:val="00FB2AEA"/>
    <w:rsid w:val="00FB3D5A"/>
    <w:rsid w:val="00FB3DF3"/>
    <w:rsid w:val="00FB44AA"/>
    <w:rsid w:val="00FB5671"/>
    <w:rsid w:val="00FB5C75"/>
    <w:rsid w:val="00FB7496"/>
    <w:rsid w:val="00FC2566"/>
    <w:rsid w:val="00FC3B1B"/>
    <w:rsid w:val="00FC490A"/>
    <w:rsid w:val="00FC4D55"/>
    <w:rsid w:val="00FC5552"/>
    <w:rsid w:val="00FC58C1"/>
    <w:rsid w:val="00FC67D5"/>
    <w:rsid w:val="00FD0DD5"/>
    <w:rsid w:val="00FD1416"/>
    <w:rsid w:val="00FD31C4"/>
    <w:rsid w:val="00FD3FAE"/>
    <w:rsid w:val="00FE037F"/>
    <w:rsid w:val="00FE1334"/>
    <w:rsid w:val="00FE4F28"/>
    <w:rsid w:val="00FE6D51"/>
    <w:rsid w:val="00FF5B9D"/>
    <w:rsid w:val="00FF7BA4"/>
    <w:rsid w:val="00FFF7E7"/>
    <w:rsid w:val="105E757A"/>
    <w:rsid w:val="17F7CE60"/>
    <w:rsid w:val="26404251"/>
    <w:rsid w:val="3BDA89C0"/>
    <w:rsid w:val="4481C457"/>
    <w:rsid w:val="4B6BC10A"/>
    <w:rsid w:val="66A12CBC"/>
    <w:rsid w:val="67676729"/>
    <w:rsid w:val="74DB57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E3484D"/>
    <w:pPr>
      <w:keepNext/>
      <w:keepLines/>
      <w:spacing w:before="360" w:after="120" w:line="460" w:lineRule="atLeast"/>
      <w:contextualSpacing/>
      <w:outlineLvl w:val="0"/>
    </w:pPr>
    <w:rPr>
      <w:rFonts w:asciiTheme="majorHAnsi" w:eastAsiaTheme="majorEastAsia" w:hAnsiTheme="majorHAnsi" w:cstheme="majorBidi"/>
      <w:bCs/>
      <w:color w:val="006066"/>
      <w:sz w:val="40"/>
      <w:szCs w:val="28"/>
    </w:rPr>
  </w:style>
  <w:style w:type="paragraph" w:styleId="Heading2">
    <w:name w:val="heading 2"/>
    <w:basedOn w:val="Heading1"/>
    <w:next w:val="Normal"/>
    <w:link w:val="Heading2Char"/>
    <w:uiPriority w:val="9"/>
    <w:unhideWhenUsed/>
    <w:qFormat/>
    <w:rsid w:val="00E3484D"/>
    <w:pPr>
      <w:spacing w:line="400" w:lineRule="atLeast"/>
      <w:outlineLvl w:val="1"/>
    </w:pPr>
    <w:rPr>
      <w:bCs w:val="0"/>
      <w:sz w:val="34"/>
      <w:szCs w:val="26"/>
      <w:lang w:val="en-US"/>
    </w:rPr>
  </w:style>
  <w:style w:type="paragraph" w:styleId="Heading3">
    <w:name w:val="heading 3"/>
    <w:basedOn w:val="Heading2"/>
    <w:next w:val="Normal"/>
    <w:link w:val="Heading3Char"/>
    <w:uiPriority w:val="9"/>
    <w:unhideWhenUsed/>
    <w:qFormat/>
    <w:rsid w:val="00763FED"/>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00474C"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002F32"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84D"/>
    <w:rPr>
      <w:rFonts w:asciiTheme="majorHAnsi" w:eastAsiaTheme="majorEastAsia" w:hAnsiTheme="majorHAnsi" w:cstheme="majorBidi"/>
      <w:bCs/>
      <w:color w:val="006066"/>
      <w:sz w:val="40"/>
      <w:szCs w:val="28"/>
    </w:rPr>
  </w:style>
  <w:style w:type="character" w:customStyle="1" w:styleId="Heading2Char">
    <w:name w:val="Heading 2 Char"/>
    <w:basedOn w:val="DefaultParagraphFont"/>
    <w:link w:val="Heading2"/>
    <w:uiPriority w:val="9"/>
    <w:rsid w:val="00E3484D"/>
    <w:rPr>
      <w:rFonts w:asciiTheme="majorHAnsi" w:eastAsiaTheme="majorEastAsia" w:hAnsiTheme="majorHAnsi" w:cstheme="majorBidi"/>
      <w:color w:val="006066"/>
      <w:sz w:val="34"/>
      <w:szCs w:val="26"/>
      <w:lang w:val="en-US"/>
    </w:rPr>
  </w:style>
  <w:style w:type="character" w:customStyle="1" w:styleId="Heading3Char">
    <w:name w:val="Heading 3 Char"/>
    <w:basedOn w:val="DefaultParagraphFont"/>
    <w:link w:val="Heading3"/>
    <w:uiPriority w:val="9"/>
    <w:rsid w:val="00763FED"/>
    <w:rPr>
      <w:rFonts w:asciiTheme="majorHAnsi" w:eastAsiaTheme="majorEastAsia" w:hAnsiTheme="majorHAnsi" w:cstheme="majorBidi"/>
      <w:bCs/>
      <w:color w:val="006066"/>
      <w:sz w:val="30"/>
      <w:szCs w:val="26"/>
      <w:lang w:val="en-US"/>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265659"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265659"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82589D"/>
    <w:pPr>
      <w:numPr>
        <w:ilvl w:val="1"/>
        <w:numId w:val="3"/>
      </w:numPr>
      <w:ind w:left="851" w:hanging="851"/>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44"/>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265659" w:themeColor="text2"/>
      <w:sz w:val="26"/>
      <w:szCs w:val="26"/>
    </w:rPr>
  </w:style>
  <w:style w:type="paragraph" w:styleId="TOC1">
    <w:name w:val="toc 1"/>
    <w:basedOn w:val="Normal"/>
    <w:next w:val="Normal"/>
    <w:autoRedefine/>
    <w:uiPriority w:val="39"/>
    <w:unhideWhenUsed/>
    <w:rsid w:val="00D57C12"/>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1E4436"/>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006066"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00474C"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002F32"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002F32"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102EC7"/>
    <w:pPr>
      <w:pBdr>
        <w:top w:val="single" w:sz="4" w:space="14" w:color="DBEFED" w:themeColor="accent3" w:themeTint="33"/>
        <w:left w:val="single" w:sz="4" w:space="14" w:color="DBEFED" w:themeColor="accent3" w:themeTint="33"/>
        <w:bottom w:val="single" w:sz="4" w:space="14" w:color="DBEFED" w:themeColor="accent3" w:themeTint="33"/>
        <w:right w:val="single" w:sz="4" w:space="14" w:color="DBEFED" w:themeColor="accent3" w:themeTint="33"/>
      </w:pBdr>
      <w:shd w:val="clear" w:color="auto" w:fill="DBEFED" w:themeFill="accent3" w:themeFillTint="33"/>
      <w:ind w:left="284" w:right="284"/>
    </w:pPr>
  </w:style>
  <w:style w:type="paragraph" w:customStyle="1" w:styleId="Boxed1Heading">
    <w:name w:val="Boxed 1 Heading"/>
    <w:basedOn w:val="Boxed1Text"/>
    <w:link w:val="Boxed1HeadingChar"/>
    <w:qFormat/>
    <w:rsid w:val="00BF7B49"/>
    <w:rPr>
      <w:b/>
      <w:sz w:val="24"/>
    </w:rPr>
  </w:style>
  <w:style w:type="paragraph" w:customStyle="1" w:styleId="Boxed2Text">
    <w:name w:val="Boxed 2 Text"/>
    <w:basedOn w:val="Boxed1Text"/>
    <w:qFormat/>
    <w:rsid w:val="00BF7B49"/>
    <w:pPr>
      <w:pBdr>
        <w:top w:val="single" w:sz="4" w:space="14" w:color="006066" w:themeColor="accent1"/>
        <w:left w:val="single" w:sz="4" w:space="14" w:color="006066" w:themeColor="accent1"/>
        <w:bottom w:val="single" w:sz="4" w:space="14" w:color="006066" w:themeColor="accent1"/>
        <w:right w:val="single" w:sz="4" w:space="14" w:color="006066" w:themeColor="accent1"/>
      </w:pBdr>
      <w:shd w:val="clear" w:color="auto" w:fill="006066" w:themeFill="accent1"/>
    </w:pPr>
    <w:rPr>
      <w:color w:val="FFFFFF" w:themeColor="background1"/>
    </w:rPr>
  </w:style>
  <w:style w:type="paragraph" w:customStyle="1" w:styleId="Boxed2Heading">
    <w:name w:val="Boxed 2 Heading"/>
    <w:basedOn w:val="Boxed2Text"/>
    <w:qFormat/>
    <w:rsid w:val="00BF7B49"/>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265659" w:themeColor="text2"/>
        <w:bottom w:val="single" w:sz="4" w:space="0" w:color="265659" w:themeColor="text2"/>
        <w:insideH w:val="single" w:sz="4" w:space="0" w:color="265659" w:themeColor="text2"/>
      </w:tblBorders>
      <w:tblCellMar>
        <w:left w:w="85" w:type="dxa"/>
        <w:right w:w="85" w:type="dxa"/>
      </w:tblCellMar>
    </w:tblPr>
    <w:trPr>
      <w:cantSplit/>
    </w:trPr>
    <w:tblStylePr w:type="firstRow">
      <w:rPr>
        <w:b/>
      </w:rPr>
      <w:tblPr/>
      <w:trPr>
        <w:tblHeader/>
      </w:trPr>
      <w:tcPr>
        <w:shd w:val="clear" w:color="auto" w:fill="265659" w:themeFill="text2"/>
      </w:tcPr>
    </w:tblStylePr>
    <w:tblStylePr w:type="lastRow">
      <w:tblPr/>
      <w:tcPr>
        <w:shd w:val="clear" w:color="auto" w:fill="265659" w:themeFill="text2"/>
      </w:tcPr>
    </w:tblStylePr>
    <w:tblStylePr w:type="firstCol">
      <w:tblPr/>
      <w:tcPr>
        <w:tcBorders>
          <w:insideH w:val="single" w:sz="4" w:space="0" w:color="FFFFFF" w:themeColor="background1"/>
        </w:tcBorders>
        <w:shd w:val="clear" w:color="auto" w:fill="265659"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customStyle="1" w:styleId="Boxed3Heading">
    <w:name w:val="Boxed 3 Heading"/>
    <w:basedOn w:val="Boxed1Heading"/>
    <w:link w:val="Boxed3HeadingChar"/>
    <w:qFormat/>
    <w:rsid w:val="00FA1CD3"/>
    <w:pPr>
      <w:pBdr>
        <w:top w:val="single" w:sz="4" w:space="14" w:color="EAAA00" w:themeColor="accent5"/>
        <w:left w:val="single" w:sz="4" w:space="14" w:color="EAAA00" w:themeColor="accent5"/>
        <w:bottom w:val="single" w:sz="4" w:space="14" w:color="EAAA00" w:themeColor="accent5"/>
        <w:right w:val="single" w:sz="4" w:space="14" w:color="EAAA00" w:themeColor="accent5"/>
      </w:pBdr>
      <w:shd w:val="clear" w:color="auto" w:fill="EAAA00" w:themeFill="accent5"/>
    </w:pPr>
    <w:rPr>
      <w:sz w:val="22"/>
    </w:rPr>
  </w:style>
  <w:style w:type="character" w:customStyle="1" w:styleId="Boxed1TextChar">
    <w:name w:val="Boxed 1 Text Char"/>
    <w:basedOn w:val="DefaultParagraphFont"/>
    <w:link w:val="Boxed1Text"/>
    <w:rsid w:val="00102EC7"/>
    <w:rPr>
      <w:shd w:val="clear" w:color="auto" w:fill="DBEFED" w:themeFill="accent3" w:themeFillTint="33"/>
    </w:rPr>
  </w:style>
  <w:style w:type="character" w:customStyle="1" w:styleId="Boxed1HeadingChar">
    <w:name w:val="Boxed 1 Heading Char"/>
    <w:basedOn w:val="Boxed1TextChar"/>
    <w:link w:val="Boxed1Heading"/>
    <w:rsid w:val="003C554E"/>
    <w:rPr>
      <w:b/>
      <w:sz w:val="24"/>
      <w:shd w:val="clear" w:color="auto" w:fill="C0DDDE"/>
    </w:rPr>
  </w:style>
  <w:style w:type="character" w:customStyle="1" w:styleId="Boxed3HeadingChar">
    <w:name w:val="Boxed 3 Heading Char"/>
    <w:basedOn w:val="Boxed1HeadingChar"/>
    <w:link w:val="Boxed3Heading"/>
    <w:rsid w:val="00FA1CD3"/>
    <w:rPr>
      <w:b/>
      <w:sz w:val="24"/>
      <w:shd w:val="clear" w:color="auto" w:fill="EAAA00" w:themeFill="accent5"/>
    </w:rPr>
  </w:style>
  <w:style w:type="paragraph" w:customStyle="1" w:styleId="Boxed3Text">
    <w:name w:val="Boxed 3 Text"/>
    <w:basedOn w:val="Boxed3Heading"/>
    <w:link w:val="Boxed3TextChar"/>
    <w:qFormat/>
    <w:rsid w:val="001E4137"/>
    <w:pPr>
      <w:pBdr>
        <w:top w:val="single" w:sz="4" w:space="14" w:color="FFEACC" w:themeColor="accent6" w:themeTint="33"/>
        <w:left w:val="single" w:sz="4" w:space="14" w:color="FFEACC" w:themeColor="accent6" w:themeTint="33"/>
        <w:bottom w:val="single" w:sz="4" w:space="14" w:color="FFEACC" w:themeColor="accent6" w:themeTint="33"/>
        <w:right w:val="single" w:sz="4" w:space="14" w:color="FFEACC" w:themeColor="accent6" w:themeTint="33"/>
      </w:pBdr>
      <w:shd w:val="clear" w:color="auto" w:fill="FFEACC" w:themeFill="accent6" w:themeFillTint="33"/>
    </w:pPr>
    <w:rPr>
      <w:b w:val="0"/>
    </w:rPr>
  </w:style>
  <w:style w:type="character" w:customStyle="1" w:styleId="Boxed3TextChar">
    <w:name w:val="Boxed 3 Text Char"/>
    <w:basedOn w:val="Boxed3HeadingChar"/>
    <w:link w:val="Boxed3Text"/>
    <w:rsid w:val="001E4137"/>
    <w:rPr>
      <w:b w:val="0"/>
      <w:sz w:val="24"/>
      <w:shd w:val="clear" w:color="auto" w:fill="FFEACC" w:themeFill="accent6" w:themeFillTint="33"/>
    </w:rPr>
  </w:style>
  <w:style w:type="paragraph" w:styleId="NoSpacing">
    <w:name w:val="No Spacing"/>
    <w:uiPriority w:val="1"/>
    <w:qFormat/>
    <w:rsid w:val="008F1D30"/>
    <w:pPr>
      <w:suppressAutoHyphens/>
      <w:spacing w:after="0" w:line="240" w:lineRule="auto"/>
    </w:pPr>
  </w:style>
  <w:style w:type="table" w:styleId="ListTable2-Accent1">
    <w:name w:val="List Table 2 Accent 1"/>
    <w:basedOn w:val="TableNormal"/>
    <w:uiPriority w:val="47"/>
    <w:rsid w:val="008F1D30"/>
    <w:pPr>
      <w:spacing w:after="0" w:line="240" w:lineRule="auto"/>
    </w:pPr>
    <w:tblPr>
      <w:tblStyleRowBandSize w:val="1"/>
      <w:tblStyleColBandSize w:val="1"/>
      <w:tblBorders>
        <w:top w:val="single" w:sz="4" w:space="0" w:color="0AF0FF" w:themeColor="accent1" w:themeTint="99"/>
        <w:bottom w:val="single" w:sz="4" w:space="0" w:color="0AF0FF" w:themeColor="accent1" w:themeTint="99"/>
        <w:insideH w:val="single" w:sz="4" w:space="0" w:color="0AF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AFF" w:themeFill="accent1" w:themeFillTint="33"/>
      </w:tcPr>
    </w:tblStylePr>
    <w:tblStylePr w:type="band1Horz">
      <w:tblPr/>
      <w:tcPr>
        <w:shd w:val="clear" w:color="auto" w:fill="ADFAFF" w:themeFill="accent1" w:themeFillTint="33"/>
      </w:tcPr>
    </w:tblStylePr>
  </w:style>
  <w:style w:type="table" w:styleId="ListTable2-Accent3">
    <w:name w:val="List Table 2 Accent 3"/>
    <w:basedOn w:val="TableNormal"/>
    <w:uiPriority w:val="47"/>
    <w:rsid w:val="008F1D30"/>
    <w:pPr>
      <w:spacing w:after="0" w:line="240" w:lineRule="auto"/>
    </w:pPr>
    <w:tblPr>
      <w:tblStyleRowBandSize w:val="1"/>
      <w:tblStyleColBandSize w:val="1"/>
      <w:tblBorders>
        <w:top w:val="single" w:sz="4" w:space="0" w:color="94D0CA" w:themeColor="accent3" w:themeTint="99"/>
        <w:bottom w:val="single" w:sz="4" w:space="0" w:color="94D0CA" w:themeColor="accent3" w:themeTint="99"/>
        <w:insideH w:val="single" w:sz="4" w:space="0" w:color="94D0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character" w:styleId="CommentReference">
    <w:name w:val="annotation reference"/>
    <w:basedOn w:val="DefaultParagraphFont"/>
    <w:uiPriority w:val="99"/>
    <w:semiHidden/>
    <w:unhideWhenUsed/>
    <w:rsid w:val="006F58E3"/>
    <w:rPr>
      <w:sz w:val="16"/>
      <w:szCs w:val="16"/>
    </w:rPr>
  </w:style>
  <w:style w:type="paragraph" w:styleId="CommentText">
    <w:name w:val="annotation text"/>
    <w:basedOn w:val="Normal"/>
    <w:link w:val="CommentTextChar"/>
    <w:uiPriority w:val="99"/>
    <w:unhideWhenUsed/>
    <w:rsid w:val="006F58E3"/>
    <w:pPr>
      <w:spacing w:line="240" w:lineRule="auto"/>
    </w:pPr>
    <w:rPr>
      <w:sz w:val="20"/>
      <w:szCs w:val="20"/>
    </w:rPr>
  </w:style>
  <w:style w:type="character" w:customStyle="1" w:styleId="CommentTextChar">
    <w:name w:val="Comment Text Char"/>
    <w:basedOn w:val="DefaultParagraphFont"/>
    <w:link w:val="CommentText"/>
    <w:uiPriority w:val="99"/>
    <w:rsid w:val="006F58E3"/>
    <w:rPr>
      <w:sz w:val="20"/>
      <w:szCs w:val="20"/>
    </w:rPr>
  </w:style>
  <w:style w:type="paragraph" w:styleId="CommentSubject">
    <w:name w:val="annotation subject"/>
    <w:basedOn w:val="CommentText"/>
    <w:next w:val="CommentText"/>
    <w:link w:val="CommentSubjectChar"/>
    <w:uiPriority w:val="99"/>
    <w:semiHidden/>
    <w:unhideWhenUsed/>
    <w:rsid w:val="006F58E3"/>
    <w:rPr>
      <w:b/>
      <w:bCs/>
    </w:rPr>
  </w:style>
  <w:style w:type="character" w:customStyle="1" w:styleId="CommentSubjectChar">
    <w:name w:val="Comment Subject Char"/>
    <w:basedOn w:val="CommentTextChar"/>
    <w:link w:val="CommentSubject"/>
    <w:uiPriority w:val="99"/>
    <w:semiHidden/>
    <w:rsid w:val="006F58E3"/>
    <w:rPr>
      <w:b/>
      <w:bCs/>
      <w:sz w:val="20"/>
      <w:szCs w:val="20"/>
    </w:rPr>
  </w:style>
  <w:style w:type="character" w:styleId="UnresolvedMention">
    <w:name w:val="Unresolved Mention"/>
    <w:basedOn w:val="DefaultParagraphFont"/>
    <w:uiPriority w:val="99"/>
    <w:semiHidden/>
    <w:unhideWhenUsed/>
    <w:rsid w:val="00703427"/>
    <w:rPr>
      <w:color w:val="605E5C"/>
      <w:shd w:val="clear" w:color="auto" w:fill="E1DFDD"/>
    </w:rPr>
  </w:style>
  <w:style w:type="table" w:styleId="ListTable3-Accent1">
    <w:name w:val="List Table 3 Accent 1"/>
    <w:basedOn w:val="TableNormal"/>
    <w:uiPriority w:val="48"/>
    <w:rsid w:val="00D73C35"/>
    <w:pPr>
      <w:spacing w:after="0" w:line="240" w:lineRule="auto"/>
    </w:pPr>
    <w:tblPr>
      <w:tblStyleRowBandSize w:val="1"/>
      <w:tblStyleColBandSize w:val="1"/>
      <w:tblBorders>
        <w:top w:val="single" w:sz="4" w:space="0" w:color="006066" w:themeColor="accent1"/>
        <w:left w:val="single" w:sz="4" w:space="0" w:color="006066" w:themeColor="accent1"/>
        <w:bottom w:val="single" w:sz="4" w:space="0" w:color="006066" w:themeColor="accent1"/>
        <w:right w:val="single" w:sz="4" w:space="0" w:color="006066" w:themeColor="accent1"/>
      </w:tblBorders>
    </w:tblPr>
    <w:tblStylePr w:type="firstRow">
      <w:rPr>
        <w:b/>
        <w:bCs/>
        <w:color w:val="FFFFFF" w:themeColor="background1"/>
      </w:rPr>
      <w:tblPr/>
      <w:tcPr>
        <w:shd w:val="clear" w:color="auto" w:fill="006066" w:themeFill="accent1"/>
      </w:tcPr>
    </w:tblStylePr>
    <w:tblStylePr w:type="lastRow">
      <w:rPr>
        <w:b/>
        <w:bCs/>
      </w:rPr>
      <w:tblPr/>
      <w:tcPr>
        <w:tcBorders>
          <w:top w:val="double" w:sz="4" w:space="0" w:color="0060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066" w:themeColor="accent1"/>
          <w:right w:val="single" w:sz="4" w:space="0" w:color="006066" w:themeColor="accent1"/>
        </w:tcBorders>
      </w:tcPr>
    </w:tblStylePr>
    <w:tblStylePr w:type="band1Horz">
      <w:tblPr/>
      <w:tcPr>
        <w:tcBorders>
          <w:top w:val="single" w:sz="4" w:space="0" w:color="006066" w:themeColor="accent1"/>
          <w:bottom w:val="single" w:sz="4" w:space="0" w:color="0060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066" w:themeColor="accent1"/>
          <w:left w:val="nil"/>
        </w:tcBorders>
      </w:tcPr>
    </w:tblStylePr>
    <w:tblStylePr w:type="swCell">
      <w:tblPr/>
      <w:tcPr>
        <w:tcBorders>
          <w:top w:val="double" w:sz="4" w:space="0" w:color="006066" w:themeColor="accent1"/>
          <w:right w:val="nil"/>
        </w:tcBorders>
      </w:tcPr>
    </w:tblStylePr>
  </w:style>
  <w:style w:type="table" w:styleId="GridTable1Light-Accent2">
    <w:name w:val="Grid Table 1 Light Accent 2"/>
    <w:basedOn w:val="TableNormal"/>
    <w:uiPriority w:val="46"/>
    <w:rsid w:val="00160A16"/>
    <w:pPr>
      <w:spacing w:after="0" w:line="240" w:lineRule="auto"/>
    </w:pPr>
    <w:tblPr>
      <w:tblStyleRowBandSize w:val="1"/>
      <w:tblStyleColBandSize w:val="1"/>
      <w:tblBorders>
        <w:top w:val="single" w:sz="4" w:space="0" w:color="96E1DF" w:themeColor="accent2" w:themeTint="66"/>
        <w:left w:val="single" w:sz="4" w:space="0" w:color="96E1DF" w:themeColor="accent2" w:themeTint="66"/>
        <w:bottom w:val="single" w:sz="4" w:space="0" w:color="96E1DF" w:themeColor="accent2" w:themeTint="66"/>
        <w:right w:val="single" w:sz="4" w:space="0" w:color="96E1DF" w:themeColor="accent2" w:themeTint="66"/>
        <w:insideH w:val="single" w:sz="4" w:space="0" w:color="96E1DF" w:themeColor="accent2" w:themeTint="66"/>
        <w:insideV w:val="single" w:sz="4" w:space="0" w:color="96E1DF" w:themeColor="accent2" w:themeTint="66"/>
      </w:tblBorders>
    </w:tblPr>
    <w:tblStylePr w:type="firstRow">
      <w:rPr>
        <w:b/>
        <w:bCs/>
      </w:rPr>
      <w:tblPr/>
      <w:tcPr>
        <w:tcBorders>
          <w:bottom w:val="single" w:sz="12" w:space="0" w:color="62D2CF" w:themeColor="accent2" w:themeTint="99"/>
        </w:tcBorders>
      </w:tcPr>
    </w:tblStylePr>
    <w:tblStylePr w:type="lastRow">
      <w:rPr>
        <w:b/>
        <w:bCs/>
      </w:rPr>
      <w:tblPr/>
      <w:tcPr>
        <w:tcBorders>
          <w:top w:val="double" w:sz="2" w:space="0" w:color="62D2CF"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C54C29"/>
    <w:pPr>
      <w:spacing w:after="0" w:line="240" w:lineRule="auto"/>
    </w:pPr>
  </w:style>
  <w:style w:type="table" w:styleId="ListTable4-Accent3">
    <w:name w:val="List Table 4 Accent 3"/>
    <w:basedOn w:val="TableNormal"/>
    <w:uiPriority w:val="49"/>
    <w:rsid w:val="00F92671"/>
    <w:pPr>
      <w:spacing w:after="0" w:line="240" w:lineRule="auto"/>
    </w:pPr>
    <w:tblPr>
      <w:tblStyleRowBandSize w:val="1"/>
      <w:tblStyleColBandSize w:val="1"/>
      <w:tblBorders>
        <w:top w:val="single" w:sz="4" w:space="0" w:color="94D0CA" w:themeColor="accent3" w:themeTint="99"/>
        <w:left w:val="single" w:sz="4" w:space="0" w:color="94D0CA" w:themeColor="accent3" w:themeTint="99"/>
        <w:bottom w:val="single" w:sz="4" w:space="0" w:color="94D0CA" w:themeColor="accent3" w:themeTint="99"/>
        <w:right w:val="single" w:sz="4" w:space="0" w:color="94D0CA" w:themeColor="accent3" w:themeTint="99"/>
        <w:insideH w:val="single" w:sz="4" w:space="0" w:color="94D0CA" w:themeColor="accent3" w:themeTint="99"/>
      </w:tblBorders>
    </w:tblPr>
    <w:tblStylePr w:type="firstRow">
      <w:rPr>
        <w:b/>
        <w:bCs/>
        <w:color w:val="FFFFFF" w:themeColor="background1"/>
      </w:rPr>
      <w:tblPr/>
      <w:tcPr>
        <w:tcBorders>
          <w:top w:val="single" w:sz="4" w:space="0" w:color="4EB1A7" w:themeColor="accent3"/>
          <w:left w:val="single" w:sz="4" w:space="0" w:color="4EB1A7" w:themeColor="accent3"/>
          <w:bottom w:val="single" w:sz="4" w:space="0" w:color="4EB1A7" w:themeColor="accent3"/>
          <w:right w:val="single" w:sz="4" w:space="0" w:color="4EB1A7" w:themeColor="accent3"/>
          <w:insideH w:val="nil"/>
        </w:tcBorders>
        <w:shd w:val="clear" w:color="auto" w:fill="4EB1A7" w:themeFill="accent3"/>
      </w:tcPr>
    </w:tblStylePr>
    <w:tblStylePr w:type="lastRow">
      <w:rPr>
        <w:b/>
        <w:bCs/>
      </w:rPr>
      <w:tblPr/>
      <w:tcPr>
        <w:tcBorders>
          <w:top w:val="double" w:sz="4" w:space="0" w:color="94D0CA" w:themeColor="accent3" w:themeTint="99"/>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ListTable4-Accent4">
    <w:name w:val="List Table 4 Accent 4"/>
    <w:basedOn w:val="TableNormal"/>
    <w:uiPriority w:val="49"/>
    <w:rsid w:val="001D3DE4"/>
    <w:pPr>
      <w:spacing w:after="0" w:line="240" w:lineRule="auto"/>
    </w:pPr>
    <w:tblPr>
      <w:tblStyleRowBandSize w:val="1"/>
      <w:tblStyleColBandSize w:val="1"/>
      <w:tblBorders>
        <w:top w:val="single" w:sz="4" w:space="0" w:color="C3E9E8" w:themeColor="accent4" w:themeTint="99"/>
        <w:left w:val="single" w:sz="4" w:space="0" w:color="C3E9E8" w:themeColor="accent4" w:themeTint="99"/>
        <w:bottom w:val="single" w:sz="4" w:space="0" w:color="C3E9E8" w:themeColor="accent4" w:themeTint="99"/>
        <w:right w:val="single" w:sz="4" w:space="0" w:color="C3E9E8" w:themeColor="accent4" w:themeTint="99"/>
        <w:insideH w:val="single" w:sz="4" w:space="0" w:color="C3E9E8" w:themeColor="accent4" w:themeTint="99"/>
      </w:tblBorders>
    </w:tblPr>
    <w:tblStylePr w:type="firstRow">
      <w:rPr>
        <w:b/>
        <w:bCs/>
        <w:color w:val="FFFFFF" w:themeColor="background1"/>
      </w:rPr>
      <w:tblPr/>
      <w:tcPr>
        <w:tcBorders>
          <w:top w:val="single" w:sz="4" w:space="0" w:color="9CDBD9" w:themeColor="accent4"/>
          <w:left w:val="single" w:sz="4" w:space="0" w:color="9CDBD9" w:themeColor="accent4"/>
          <w:bottom w:val="single" w:sz="4" w:space="0" w:color="9CDBD9" w:themeColor="accent4"/>
          <w:right w:val="single" w:sz="4" w:space="0" w:color="9CDBD9" w:themeColor="accent4"/>
          <w:insideH w:val="nil"/>
        </w:tcBorders>
        <w:shd w:val="clear" w:color="auto" w:fill="9CDBD9" w:themeFill="accent4"/>
      </w:tcPr>
    </w:tblStylePr>
    <w:tblStylePr w:type="lastRow">
      <w:rPr>
        <w:b/>
        <w:bCs/>
      </w:rPr>
      <w:tblPr/>
      <w:tcPr>
        <w:tcBorders>
          <w:top w:val="double" w:sz="4" w:space="0" w:color="C3E9E8" w:themeColor="accent4" w:themeTint="99"/>
        </w:tcBorders>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GridTable4-Accent3">
    <w:name w:val="Grid Table 4 Accent 3"/>
    <w:basedOn w:val="TableNormal"/>
    <w:uiPriority w:val="49"/>
    <w:rsid w:val="00601E46"/>
    <w:pPr>
      <w:spacing w:after="0" w:line="240" w:lineRule="auto"/>
    </w:pPr>
    <w:tblPr>
      <w:tblStyleRowBandSize w:val="1"/>
      <w:tblStyleColBandSize w:val="1"/>
      <w:tblBorders>
        <w:top w:val="single" w:sz="4" w:space="0" w:color="94D0CA" w:themeColor="accent3" w:themeTint="99"/>
        <w:left w:val="single" w:sz="4" w:space="0" w:color="94D0CA" w:themeColor="accent3" w:themeTint="99"/>
        <w:bottom w:val="single" w:sz="4" w:space="0" w:color="94D0CA" w:themeColor="accent3" w:themeTint="99"/>
        <w:right w:val="single" w:sz="4" w:space="0" w:color="94D0CA" w:themeColor="accent3" w:themeTint="99"/>
        <w:insideH w:val="single" w:sz="4" w:space="0" w:color="94D0CA" w:themeColor="accent3" w:themeTint="99"/>
        <w:insideV w:val="single" w:sz="4" w:space="0" w:color="94D0CA" w:themeColor="accent3" w:themeTint="99"/>
      </w:tblBorders>
    </w:tblPr>
    <w:tblStylePr w:type="firstRow">
      <w:rPr>
        <w:b/>
        <w:bCs/>
        <w:color w:val="FFFFFF" w:themeColor="background1"/>
      </w:rPr>
      <w:tblPr/>
      <w:tcPr>
        <w:tcBorders>
          <w:top w:val="single" w:sz="4" w:space="0" w:color="4EB1A7" w:themeColor="accent3"/>
          <w:left w:val="single" w:sz="4" w:space="0" w:color="4EB1A7" w:themeColor="accent3"/>
          <w:bottom w:val="single" w:sz="4" w:space="0" w:color="4EB1A7" w:themeColor="accent3"/>
          <w:right w:val="single" w:sz="4" w:space="0" w:color="4EB1A7" w:themeColor="accent3"/>
          <w:insideH w:val="nil"/>
          <w:insideV w:val="nil"/>
        </w:tcBorders>
        <w:shd w:val="clear" w:color="auto" w:fill="4EB1A7" w:themeFill="accent3"/>
      </w:tcPr>
    </w:tblStylePr>
    <w:tblStylePr w:type="lastRow">
      <w:rPr>
        <w:b/>
        <w:bCs/>
      </w:rPr>
      <w:tblPr/>
      <w:tcPr>
        <w:tcBorders>
          <w:top w:val="double" w:sz="4" w:space="0" w:color="4EB1A7" w:themeColor="accent3"/>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ListTable2-Accent4">
    <w:name w:val="List Table 2 Accent 4"/>
    <w:basedOn w:val="TableNormal"/>
    <w:uiPriority w:val="47"/>
    <w:rsid w:val="00681CEF"/>
    <w:pPr>
      <w:spacing w:after="0" w:line="240" w:lineRule="auto"/>
    </w:pPr>
    <w:tblPr>
      <w:tblStyleRowBandSize w:val="1"/>
      <w:tblStyleColBandSize w:val="1"/>
      <w:tblBorders>
        <w:top w:val="single" w:sz="4" w:space="0" w:color="C3E9E8" w:themeColor="accent4" w:themeTint="99"/>
        <w:bottom w:val="single" w:sz="4" w:space="0" w:color="C3E9E8" w:themeColor="accent4" w:themeTint="99"/>
        <w:insideH w:val="single" w:sz="4" w:space="0" w:color="C3E9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ListTable1Light-Accent3">
    <w:name w:val="List Table 1 Light Accent 3"/>
    <w:basedOn w:val="TableNormal"/>
    <w:uiPriority w:val="46"/>
    <w:rsid w:val="00681CEF"/>
    <w:pPr>
      <w:spacing w:after="0" w:line="240" w:lineRule="auto"/>
    </w:pPr>
    <w:tblPr>
      <w:tblStyleRowBandSize w:val="1"/>
      <w:tblStyleColBandSize w:val="1"/>
    </w:tblPr>
    <w:tblStylePr w:type="firstRow">
      <w:rPr>
        <w:b/>
        <w:bCs/>
      </w:rPr>
      <w:tblPr/>
      <w:tcPr>
        <w:tcBorders>
          <w:bottom w:val="single" w:sz="4" w:space="0" w:color="94D0CA" w:themeColor="accent3" w:themeTint="99"/>
        </w:tcBorders>
      </w:tcPr>
    </w:tblStylePr>
    <w:tblStylePr w:type="lastRow">
      <w:rPr>
        <w:b/>
        <w:bCs/>
      </w:rPr>
      <w:tblPr/>
      <w:tcPr>
        <w:tcBorders>
          <w:top w:val="single" w:sz="4" w:space="0" w:color="94D0CA" w:themeColor="accent3" w:themeTint="99"/>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GridTable4-Accent2">
    <w:name w:val="Grid Table 4 Accent 2"/>
    <w:basedOn w:val="TableNormal"/>
    <w:uiPriority w:val="49"/>
    <w:rsid w:val="00A8075D"/>
    <w:pPr>
      <w:spacing w:after="0" w:line="240" w:lineRule="auto"/>
    </w:pPr>
    <w:tblPr>
      <w:tblStyleRowBandSize w:val="1"/>
      <w:tblStyleColBandSize w:val="1"/>
      <w:tblBorders>
        <w:top w:val="single" w:sz="4" w:space="0" w:color="62D2CF" w:themeColor="accent2" w:themeTint="99"/>
        <w:left w:val="single" w:sz="4" w:space="0" w:color="62D2CF" w:themeColor="accent2" w:themeTint="99"/>
        <w:bottom w:val="single" w:sz="4" w:space="0" w:color="62D2CF" w:themeColor="accent2" w:themeTint="99"/>
        <w:right w:val="single" w:sz="4" w:space="0" w:color="62D2CF" w:themeColor="accent2" w:themeTint="99"/>
        <w:insideH w:val="single" w:sz="4" w:space="0" w:color="62D2CF" w:themeColor="accent2" w:themeTint="99"/>
        <w:insideV w:val="single" w:sz="4" w:space="0" w:color="62D2CF" w:themeColor="accent2" w:themeTint="99"/>
      </w:tblBorders>
    </w:tblPr>
    <w:tblStylePr w:type="firstRow">
      <w:rPr>
        <w:b/>
        <w:bCs/>
        <w:color w:val="FFFFFF" w:themeColor="background1"/>
      </w:rPr>
      <w:tblPr/>
      <w:tcPr>
        <w:tcBorders>
          <w:top w:val="single" w:sz="4" w:space="0" w:color="278987" w:themeColor="accent2"/>
          <w:left w:val="single" w:sz="4" w:space="0" w:color="278987" w:themeColor="accent2"/>
          <w:bottom w:val="single" w:sz="4" w:space="0" w:color="278987" w:themeColor="accent2"/>
          <w:right w:val="single" w:sz="4" w:space="0" w:color="278987" w:themeColor="accent2"/>
          <w:insideH w:val="nil"/>
          <w:insideV w:val="nil"/>
        </w:tcBorders>
        <w:shd w:val="clear" w:color="auto" w:fill="278987" w:themeFill="accent2"/>
      </w:tcPr>
    </w:tblStylePr>
    <w:tblStylePr w:type="lastRow">
      <w:rPr>
        <w:b/>
        <w:bCs/>
      </w:rPr>
      <w:tblPr/>
      <w:tcPr>
        <w:tcBorders>
          <w:top w:val="double" w:sz="4" w:space="0" w:color="278987" w:themeColor="accent2"/>
        </w:tcBorders>
      </w:tcPr>
    </w:tblStylePr>
    <w:tblStylePr w:type="firstCol">
      <w:rPr>
        <w:b/>
        <w:bCs/>
      </w:rPr>
    </w:tblStylePr>
    <w:tblStylePr w:type="lastCol">
      <w:rPr>
        <w:b/>
        <w:bCs/>
      </w:rPr>
    </w:tblStylePr>
    <w:tblStylePr w:type="band1Vert">
      <w:tblPr/>
      <w:tcPr>
        <w:shd w:val="clear" w:color="auto" w:fill="CAF0EF" w:themeFill="accent2" w:themeFillTint="33"/>
      </w:tcPr>
    </w:tblStylePr>
    <w:tblStylePr w:type="band1Horz">
      <w:tblPr/>
      <w:tcPr>
        <w:shd w:val="clear" w:color="auto" w:fill="CAF0EF" w:themeFill="accent2" w:themeFillTint="33"/>
      </w:tcPr>
    </w:tblStylePr>
  </w:style>
  <w:style w:type="table" w:styleId="GridTable4-Accent4">
    <w:name w:val="Grid Table 4 Accent 4"/>
    <w:basedOn w:val="TableNormal"/>
    <w:uiPriority w:val="49"/>
    <w:rsid w:val="00A8075D"/>
    <w:pPr>
      <w:spacing w:after="0" w:line="240" w:lineRule="auto"/>
    </w:pPr>
    <w:tblPr>
      <w:tblStyleRowBandSize w:val="1"/>
      <w:tblStyleColBandSize w:val="1"/>
      <w:tblBorders>
        <w:top w:val="single" w:sz="4" w:space="0" w:color="C3E9E8" w:themeColor="accent4" w:themeTint="99"/>
        <w:left w:val="single" w:sz="4" w:space="0" w:color="C3E9E8" w:themeColor="accent4" w:themeTint="99"/>
        <w:bottom w:val="single" w:sz="4" w:space="0" w:color="C3E9E8" w:themeColor="accent4" w:themeTint="99"/>
        <w:right w:val="single" w:sz="4" w:space="0" w:color="C3E9E8" w:themeColor="accent4" w:themeTint="99"/>
        <w:insideH w:val="single" w:sz="4" w:space="0" w:color="C3E9E8" w:themeColor="accent4" w:themeTint="99"/>
        <w:insideV w:val="single" w:sz="4" w:space="0" w:color="C3E9E8" w:themeColor="accent4" w:themeTint="99"/>
      </w:tblBorders>
    </w:tblPr>
    <w:tblStylePr w:type="firstRow">
      <w:rPr>
        <w:b/>
        <w:bCs/>
        <w:color w:val="FFFFFF" w:themeColor="background1"/>
      </w:rPr>
      <w:tblPr/>
      <w:tcPr>
        <w:tcBorders>
          <w:top w:val="single" w:sz="4" w:space="0" w:color="9CDBD9" w:themeColor="accent4"/>
          <w:left w:val="single" w:sz="4" w:space="0" w:color="9CDBD9" w:themeColor="accent4"/>
          <w:bottom w:val="single" w:sz="4" w:space="0" w:color="9CDBD9" w:themeColor="accent4"/>
          <w:right w:val="single" w:sz="4" w:space="0" w:color="9CDBD9" w:themeColor="accent4"/>
          <w:insideH w:val="nil"/>
          <w:insideV w:val="nil"/>
        </w:tcBorders>
        <w:shd w:val="clear" w:color="auto" w:fill="9CDBD9" w:themeFill="accent4"/>
      </w:tcPr>
    </w:tblStylePr>
    <w:tblStylePr w:type="lastRow">
      <w:rPr>
        <w:b/>
        <w:bCs/>
      </w:rPr>
      <w:tblPr/>
      <w:tcPr>
        <w:tcBorders>
          <w:top w:val="double" w:sz="4" w:space="0" w:color="9CDBD9" w:themeColor="accent4"/>
        </w:tcBorders>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GridTable3-Accent2">
    <w:name w:val="Grid Table 3 Accent 2"/>
    <w:basedOn w:val="TableNormal"/>
    <w:uiPriority w:val="48"/>
    <w:rsid w:val="004C2B88"/>
    <w:pPr>
      <w:spacing w:after="0" w:line="240" w:lineRule="auto"/>
    </w:pPr>
    <w:tblPr>
      <w:tblStyleRowBandSize w:val="1"/>
      <w:tblStyleColBandSize w:val="1"/>
      <w:tblBorders>
        <w:top w:val="single" w:sz="4" w:space="0" w:color="62D2CF" w:themeColor="accent2" w:themeTint="99"/>
        <w:left w:val="single" w:sz="4" w:space="0" w:color="62D2CF" w:themeColor="accent2" w:themeTint="99"/>
        <w:bottom w:val="single" w:sz="4" w:space="0" w:color="62D2CF" w:themeColor="accent2" w:themeTint="99"/>
        <w:right w:val="single" w:sz="4" w:space="0" w:color="62D2CF" w:themeColor="accent2" w:themeTint="99"/>
        <w:insideH w:val="single" w:sz="4" w:space="0" w:color="62D2CF" w:themeColor="accent2" w:themeTint="99"/>
        <w:insideV w:val="single" w:sz="4" w:space="0" w:color="62D2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F" w:themeFill="accent2" w:themeFillTint="33"/>
      </w:tcPr>
    </w:tblStylePr>
    <w:tblStylePr w:type="band1Horz">
      <w:tblPr/>
      <w:tcPr>
        <w:shd w:val="clear" w:color="auto" w:fill="CAF0EF" w:themeFill="accent2" w:themeFillTint="33"/>
      </w:tcPr>
    </w:tblStylePr>
    <w:tblStylePr w:type="neCell">
      <w:tblPr/>
      <w:tcPr>
        <w:tcBorders>
          <w:bottom w:val="single" w:sz="4" w:space="0" w:color="62D2CF" w:themeColor="accent2" w:themeTint="99"/>
        </w:tcBorders>
      </w:tcPr>
    </w:tblStylePr>
    <w:tblStylePr w:type="nwCell">
      <w:tblPr/>
      <w:tcPr>
        <w:tcBorders>
          <w:bottom w:val="single" w:sz="4" w:space="0" w:color="62D2CF" w:themeColor="accent2" w:themeTint="99"/>
        </w:tcBorders>
      </w:tcPr>
    </w:tblStylePr>
    <w:tblStylePr w:type="seCell">
      <w:tblPr/>
      <w:tcPr>
        <w:tcBorders>
          <w:top w:val="single" w:sz="4" w:space="0" w:color="62D2CF" w:themeColor="accent2" w:themeTint="99"/>
        </w:tcBorders>
      </w:tcPr>
    </w:tblStylePr>
    <w:tblStylePr w:type="swCell">
      <w:tblPr/>
      <w:tcPr>
        <w:tcBorders>
          <w:top w:val="single" w:sz="4" w:space="0" w:color="62D2CF" w:themeColor="accent2" w:themeTint="99"/>
        </w:tcBorders>
      </w:tcPr>
    </w:tblStylePr>
  </w:style>
  <w:style w:type="table" w:styleId="GridTable2-Accent4">
    <w:name w:val="Grid Table 2 Accent 4"/>
    <w:basedOn w:val="TableNormal"/>
    <w:uiPriority w:val="47"/>
    <w:rsid w:val="004C2B88"/>
    <w:pPr>
      <w:spacing w:after="0" w:line="240" w:lineRule="auto"/>
    </w:pPr>
    <w:tblPr>
      <w:tblStyleRowBandSize w:val="1"/>
      <w:tblStyleColBandSize w:val="1"/>
      <w:tblBorders>
        <w:top w:val="single" w:sz="2" w:space="0" w:color="C3E9E8" w:themeColor="accent4" w:themeTint="99"/>
        <w:bottom w:val="single" w:sz="2" w:space="0" w:color="C3E9E8" w:themeColor="accent4" w:themeTint="99"/>
        <w:insideH w:val="single" w:sz="2" w:space="0" w:color="C3E9E8" w:themeColor="accent4" w:themeTint="99"/>
        <w:insideV w:val="single" w:sz="2" w:space="0" w:color="C3E9E8" w:themeColor="accent4" w:themeTint="99"/>
      </w:tblBorders>
    </w:tblPr>
    <w:tblStylePr w:type="firstRow">
      <w:rPr>
        <w:b/>
        <w:bCs/>
      </w:rPr>
      <w:tblPr/>
      <w:tcPr>
        <w:tcBorders>
          <w:top w:val="nil"/>
          <w:bottom w:val="single" w:sz="12" w:space="0" w:color="C3E9E8" w:themeColor="accent4" w:themeTint="99"/>
          <w:insideH w:val="nil"/>
          <w:insideV w:val="nil"/>
        </w:tcBorders>
        <w:shd w:val="clear" w:color="auto" w:fill="FFFFFF" w:themeFill="background1"/>
      </w:tcPr>
    </w:tblStylePr>
    <w:tblStylePr w:type="lastRow">
      <w:rPr>
        <w:b/>
        <w:bCs/>
      </w:rPr>
      <w:tblPr/>
      <w:tcPr>
        <w:tcBorders>
          <w:top w:val="double" w:sz="2" w:space="0" w:color="C3E9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ListTable3-Accent4">
    <w:name w:val="List Table 3 Accent 4"/>
    <w:basedOn w:val="TableNormal"/>
    <w:uiPriority w:val="48"/>
    <w:rsid w:val="0044090A"/>
    <w:pPr>
      <w:spacing w:after="0" w:line="240" w:lineRule="auto"/>
    </w:pPr>
    <w:tblPr>
      <w:tblStyleRowBandSize w:val="1"/>
      <w:tblStyleColBandSize w:val="1"/>
      <w:tblBorders>
        <w:top w:val="single" w:sz="4" w:space="0" w:color="9CDBD9" w:themeColor="accent4"/>
        <w:left w:val="single" w:sz="4" w:space="0" w:color="9CDBD9" w:themeColor="accent4"/>
        <w:bottom w:val="single" w:sz="4" w:space="0" w:color="9CDBD9" w:themeColor="accent4"/>
        <w:right w:val="single" w:sz="4" w:space="0" w:color="9CDBD9" w:themeColor="accent4"/>
      </w:tblBorders>
    </w:tblPr>
    <w:tblStylePr w:type="firstRow">
      <w:rPr>
        <w:b/>
        <w:bCs/>
        <w:color w:val="FFFFFF" w:themeColor="background1"/>
      </w:rPr>
      <w:tblPr/>
      <w:tcPr>
        <w:shd w:val="clear" w:color="auto" w:fill="9CDBD9" w:themeFill="accent4"/>
      </w:tcPr>
    </w:tblStylePr>
    <w:tblStylePr w:type="lastRow">
      <w:rPr>
        <w:b/>
        <w:bCs/>
      </w:rPr>
      <w:tblPr/>
      <w:tcPr>
        <w:tcBorders>
          <w:top w:val="double" w:sz="4" w:space="0" w:color="9CDBD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BD9" w:themeColor="accent4"/>
          <w:right w:val="single" w:sz="4" w:space="0" w:color="9CDBD9" w:themeColor="accent4"/>
        </w:tcBorders>
      </w:tcPr>
    </w:tblStylePr>
    <w:tblStylePr w:type="band1Horz">
      <w:tblPr/>
      <w:tcPr>
        <w:tcBorders>
          <w:top w:val="single" w:sz="4" w:space="0" w:color="9CDBD9" w:themeColor="accent4"/>
          <w:bottom w:val="single" w:sz="4" w:space="0" w:color="9CDBD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BD9" w:themeColor="accent4"/>
          <w:left w:val="nil"/>
        </w:tcBorders>
      </w:tcPr>
    </w:tblStylePr>
    <w:tblStylePr w:type="swCell">
      <w:tblPr/>
      <w:tcPr>
        <w:tcBorders>
          <w:top w:val="double" w:sz="4" w:space="0" w:color="9CDBD9" w:themeColor="accent4"/>
          <w:right w:val="nil"/>
        </w:tcBorders>
      </w:tcPr>
    </w:tblStylePr>
  </w:style>
  <w:style w:type="table" w:styleId="GridTable4-Accent1">
    <w:name w:val="Grid Table 4 Accent 1"/>
    <w:basedOn w:val="TableNormal"/>
    <w:uiPriority w:val="49"/>
    <w:rsid w:val="00102EC7"/>
    <w:pPr>
      <w:spacing w:after="0" w:line="240" w:lineRule="auto"/>
    </w:pPr>
    <w:tblPr>
      <w:tblStyleRowBandSize w:val="1"/>
      <w:tblStyleColBandSize w:val="1"/>
      <w:tblBorders>
        <w:top w:val="single" w:sz="4" w:space="0" w:color="CAF0EF" w:themeColor="accent2" w:themeTint="33"/>
        <w:left w:val="single" w:sz="4" w:space="0" w:color="CAF0EF" w:themeColor="accent2" w:themeTint="33"/>
        <w:bottom w:val="single" w:sz="4" w:space="0" w:color="CAF0EF" w:themeColor="accent2" w:themeTint="33"/>
        <w:right w:val="single" w:sz="4" w:space="0" w:color="CAF0EF" w:themeColor="accent2" w:themeTint="33"/>
        <w:insideH w:val="single" w:sz="4" w:space="0" w:color="CAF0EF" w:themeColor="accent2" w:themeTint="33"/>
        <w:insideV w:val="single" w:sz="4" w:space="0" w:color="CAF0EF" w:themeColor="accent2" w:themeTint="33"/>
      </w:tblBorders>
    </w:tblPr>
    <w:tblStylePr w:type="firstRow">
      <w:rPr>
        <w:b/>
        <w:bCs/>
        <w:color w:val="FFFFFF" w:themeColor="background1"/>
      </w:rPr>
      <w:tblPr/>
      <w:tcPr>
        <w:tcBorders>
          <w:top w:val="single" w:sz="4" w:space="0" w:color="006066" w:themeColor="accent1"/>
          <w:left w:val="single" w:sz="4" w:space="0" w:color="006066" w:themeColor="accent1"/>
          <w:bottom w:val="single" w:sz="4" w:space="0" w:color="006066" w:themeColor="accent1"/>
          <w:right w:val="single" w:sz="4" w:space="0" w:color="006066" w:themeColor="accent1"/>
          <w:insideH w:val="nil"/>
          <w:insideV w:val="nil"/>
        </w:tcBorders>
        <w:shd w:val="clear" w:color="auto" w:fill="006066" w:themeFill="accent1"/>
      </w:tcPr>
    </w:tblStylePr>
    <w:tblStylePr w:type="lastRow">
      <w:rPr>
        <w:b/>
        <w:bCs/>
      </w:rPr>
      <w:tblPr/>
      <w:tcPr>
        <w:tcBorders>
          <w:top w:val="double" w:sz="4" w:space="0" w:color="006066" w:themeColor="accent1"/>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GridTable4-Accent5">
    <w:name w:val="Grid Table 4 Accent 5"/>
    <w:basedOn w:val="TableNormal"/>
    <w:uiPriority w:val="49"/>
    <w:rsid w:val="00102EC7"/>
    <w:pPr>
      <w:spacing w:after="0" w:line="240" w:lineRule="auto"/>
    </w:pPr>
    <w:tblPr>
      <w:tblStyleRowBandSize w:val="1"/>
      <w:tblStyleColBandSize w:val="1"/>
      <w:tblBorders>
        <w:top w:val="single" w:sz="4" w:space="0" w:color="FFD159" w:themeColor="accent5" w:themeTint="99"/>
        <w:left w:val="single" w:sz="4" w:space="0" w:color="FFD159" w:themeColor="accent5" w:themeTint="99"/>
        <w:bottom w:val="single" w:sz="4" w:space="0" w:color="FFD159" w:themeColor="accent5" w:themeTint="99"/>
        <w:right w:val="single" w:sz="4" w:space="0" w:color="FFD159" w:themeColor="accent5" w:themeTint="99"/>
        <w:insideH w:val="single" w:sz="4" w:space="0" w:color="FFD159" w:themeColor="accent5" w:themeTint="99"/>
        <w:insideV w:val="single" w:sz="4" w:space="0" w:color="FFD159" w:themeColor="accent5" w:themeTint="99"/>
      </w:tblBorders>
    </w:tblPr>
    <w:tblStylePr w:type="firstRow">
      <w:rPr>
        <w:b/>
        <w:bCs/>
        <w:color w:val="FFFFFF" w:themeColor="background1"/>
      </w:rPr>
      <w:tblPr/>
      <w:tcPr>
        <w:tcBorders>
          <w:top w:val="single" w:sz="4" w:space="0" w:color="EAAA00" w:themeColor="accent5"/>
          <w:left w:val="single" w:sz="4" w:space="0" w:color="EAAA00" w:themeColor="accent5"/>
          <w:bottom w:val="single" w:sz="4" w:space="0" w:color="EAAA00" w:themeColor="accent5"/>
          <w:right w:val="single" w:sz="4" w:space="0" w:color="EAAA00" w:themeColor="accent5"/>
          <w:insideH w:val="nil"/>
          <w:insideV w:val="nil"/>
        </w:tcBorders>
        <w:shd w:val="clear" w:color="auto" w:fill="EAAA00" w:themeFill="accent5"/>
      </w:tcPr>
    </w:tblStylePr>
    <w:tblStylePr w:type="lastRow">
      <w:rPr>
        <w:b/>
        <w:bCs/>
      </w:rPr>
      <w:tblPr/>
      <w:tcPr>
        <w:tcBorders>
          <w:top w:val="double" w:sz="4" w:space="0" w:color="EAAA00" w:themeColor="accent5"/>
        </w:tcBorders>
      </w:tcPr>
    </w:tblStylePr>
    <w:tblStylePr w:type="firstCol">
      <w:rPr>
        <w:b/>
        <w:bCs/>
      </w:rPr>
    </w:tblStylePr>
    <w:tblStylePr w:type="lastCol">
      <w:rPr>
        <w:b/>
        <w:bCs/>
      </w:rPr>
    </w:tblStylePr>
    <w:tblStylePr w:type="band1Vert">
      <w:tblPr/>
      <w:tcPr>
        <w:shd w:val="clear" w:color="auto" w:fill="FFEFC7" w:themeFill="accent5" w:themeFillTint="33"/>
      </w:tcPr>
    </w:tblStylePr>
    <w:tblStylePr w:type="band1Horz">
      <w:tblPr/>
      <w:tcPr>
        <w:shd w:val="clear" w:color="auto" w:fill="FFEFC7" w:themeFill="accent5" w:themeFillTint="33"/>
      </w:tcPr>
    </w:tblStylePr>
  </w:style>
  <w:style w:type="paragraph" w:customStyle="1" w:styleId="Style6">
    <w:name w:val="Style6"/>
    <w:basedOn w:val="Boxed1Text"/>
    <w:link w:val="Style6Char"/>
    <w:qFormat/>
    <w:rsid w:val="0053352C"/>
    <w:pPr>
      <w:pBdr>
        <w:top w:val="single" w:sz="4" w:space="14" w:color="278987" w:themeColor="accent2"/>
        <w:left w:val="single" w:sz="4" w:space="14" w:color="278987" w:themeColor="accent2"/>
        <w:bottom w:val="single" w:sz="4" w:space="14" w:color="278987" w:themeColor="accent2"/>
        <w:right w:val="single" w:sz="4" w:space="14" w:color="278987" w:themeColor="accent2"/>
      </w:pBdr>
      <w:shd w:val="clear" w:color="auto" w:fill="auto"/>
    </w:pPr>
    <w:rPr>
      <w:bCs/>
      <w:szCs w:val="24"/>
    </w:rPr>
  </w:style>
  <w:style w:type="character" w:customStyle="1" w:styleId="Style6Char">
    <w:name w:val="Style6 Char"/>
    <w:basedOn w:val="Boxed1TextChar"/>
    <w:link w:val="Style6"/>
    <w:rsid w:val="00FB5671"/>
    <w:rPr>
      <w:bCs/>
      <w:szCs w:val="24"/>
      <w:shd w:val="clear" w:color="auto" w:fill="DBEFED" w:themeFill="accent3" w:themeFillTint="33"/>
    </w:rPr>
  </w:style>
  <w:style w:type="paragraph" w:styleId="Quote">
    <w:name w:val="Quote"/>
    <w:basedOn w:val="Normal"/>
    <w:next w:val="Normal"/>
    <w:link w:val="QuoteChar"/>
    <w:uiPriority w:val="29"/>
    <w:qFormat/>
    <w:rsid w:val="00CA09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09B9"/>
    <w:rPr>
      <w:i/>
      <w:iCs/>
      <w:color w:val="404040" w:themeColor="text1" w:themeTint="BF"/>
    </w:rPr>
  </w:style>
  <w:style w:type="character" w:styleId="SubtleEmphasis">
    <w:name w:val="Subtle Emphasis"/>
    <w:basedOn w:val="DefaultParagraphFont"/>
    <w:uiPriority w:val="19"/>
    <w:qFormat/>
    <w:rsid w:val="00CA09B9"/>
    <w:rPr>
      <w:i/>
      <w:iCs/>
      <w:color w:val="404040" w:themeColor="text1" w:themeTint="BF"/>
    </w:rPr>
  </w:style>
  <w:style w:type="character" w:styleId="IntenseReference">
    <w:name w:val="Intense Reference"/>
    <w:basedOn w:val="DefaultParagraphFont"/>
    <w:uiPriority w:val="32"/>
    <w:qFormat/>
    <w:rsid w:val="00CA09B9"/>
    <w:rPr>
      <w:b/>
      <w:bCs/>
      <w:smallCaps/>
      <w:color w:val="006066" w:themeColor="accent1"/>
      <w:spacing w:val="5"/>
    </w:rPr>
  </w:style>
  <w:style w:type="paragraph" w:styleId="IntenseQuote">
    <w:name w:val="Intense Quote"/>
    <w:basedOn w:val="Normal"/>
    <w:next w:val="Normal"/>
    <w:link w:val="IntenseQuoteChar"/>
    <w:uiPriority w:val="30"/>
    <w:qFormat/>
    <w:rsid w:val="00CA09B9"/>
    <w:pPr>
      <w:pBdr>
        <w:top w:val="single" w:sz="4" w:space="10" w:color="006066" w:themeColor="accent1"/>
        <w:bottom w:val="single" w:sz="4" w:space="10" w:color="006066" w:themeColor="accent1"/>
      </w:pBdr>
      <w:spacing w:before="360" w:after="360"/>
      <w:ind w:left="864" w:right="864"/>
      <w:jc w:val="center"/>
    </w:pPr>
    <w:rPr>
      <w:i/>
      <w:iCs/>
      <w:color w:val="006066" w:themeColor="accent1"/>
    </w:rPr>
  </w:style>
  <w:style w:type="character" w:customStyle="1" w:styleId="IntenseQuoteChar">
    <w:name w:val="Intense Quote Char"/>
    <w:basedOn w:val="DefaultParagraphFont"/>
    <w:link w:val="IntenseQuote"/>
    <w:uiPriority w:val="30"/>
    <w:rsid w:val="00CA09B9"/>
    <w:rPr>
      <w:i/>
      <w:iCs/>
      <w:color w:val="006066" w:themeColor="accent1"/>
    </w:rPr>
  </w:style>
  <w:style w:type="paragraph" w:styleId="NormalWeb">
    <w:name w:val="Normal (Web)"/>
    <w:basedOn w:val="Normal"/>
    <w:uiPriority w:val="99"/>
    <w:semiHidden/>
    <w:unhideWhenUsed/>
    <w:rsid w:val="00781EAF"/>
    <w:pPr>
      <w:suppressAutoHyphens w:val="0"/>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61B6C"/>
    <w:rPr>
      <w:color w:val="9CDBD9" w:themeColor="followedHyperlink"/>
      <w:u w:val="single"/>
    </w:rPr>
  </w:style>
  <w:style w:type="character" w:customStyle="1" w:styleId="ui-provider">
    <w:name w:val="ui-provider"/>
    <w:basedOn w:val="DefaultParagraphFont"/>
    <w:rsid w:val="009C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5137">
      <w:bodyDiv w:val="1"/>
      <w:marLeft w:val="0"/>
      <w:marRight w:val="0"/>
      <w:marTop w:val="0"/>
      <w:marBottom w:val="0"/>
      <w:divBdr>
        <w:top w:val="none" w:sz="0" w:space="0" w:color="auto"/>
        <w:left w:val="none" w:sz="0" w:space="0" w:color="auto"/>
        <w:bottom w:val="none" w:sz="0" w:space="0" w:color="auto"/>
        <w:right w:val="none" w:sz="0" w:space="0" w:color="auto"/>
      </w:divBdr>
      <w:divsChild>
        <w:div w:id="138309535">
          <w:marLeft w:val="1051"/>
          <w:marRight w:val="0"/>
          <w:marTop w:val="0"/>
          <w:marBottom w:val="40"/>
          <w:divBdr>
            <w:top w:val="none" w:sz="0" w:space="0" w:color="auto"/>
            <w:left w:val="none" w:sz="0" w:space="0" w:color="auto"/>
            <w:bottom w:val="none" w:sz="0" w:space="0" w:color="auto"/>
            <w:right w:val="none" w:sz="0" w:space="0" w:color="auto"/>
          </w:divBdr>
        </w:div>
        <w:div w:id="714308786">
          <w:marLeft w:val="504"/>
          <w:marRight w:val="0"/>
          <w:marTop w:val="40"/>
          <w:marBottom w:val="40"/>
          <w:divBdr>
            <w:top w:val="none" w:sz="0" w:space="0" w:color="auto"/>
            <w:left w:val="none" w:sz="0" w:space="0" w:color="auto"/>
            <w:bottom w:val="none" w:sz="0" w:space="0" w:color="auto"/>
            <w:right w:val="none" w:sz="0" w:space="0" w:color="auto"/>
          </w:divBdr>
        </w:div>
        <w:div w:id="1041782378">
          <w:marLeft w:val="504"/>
          <w:marRight w:val="0"/>
          <w:marTop w:val="40"/>
          <w:marBottom w:val="40"/>
          <w:divBdr>
            <w:top w:val="none" w:sz="0" w:space="0" w:color="auto"/>
            <w:left w:val="none" w:sz="0" w:space="0" w:color="auto"/>
            <w:bottom w:val="none" w:sz="0" w:space="0" w:color="auto"/>
            <w:right w:val="none" w:sz="0" w:space="0" w:color="auto"/>
          </w:divBdr>
        </w:div>
        <w:div w:id="1081027839">
          <w:marLeft w:val="1051"/>
          <w:marRight w:val="0"/>
          <w:marTop w:val="0"/>
          <w:marBottom w:val="40"/>
          <w:divBdr>
            <w:top w:val="none" w:sz="0" w:space="0" w:color="auto"/>
            <w:left w:val="none" w:sz="0" w:space="0" w:color="auto"/>
            <w:bottom w:val="none" w:sz="0" w:space="0" w:color="auto"/>
            <w:right w:val="none" w:sz="0" w:space="0" w:color="auto"/>
          </w:divBdr>
        </w:div>
        <w:div w:id="1168642128">
          <w:marLeft w:val="1051"/>
          <w:marRight w:val="0"/>
          <w:marTop w:val="0"/>
          <w:marBottom w:val="40"/>
          <w:divBdr>
            <w:top w:val="none" w:sz="0" w:space="0" w:color="auto"/>
            <w:left w:val="none" w:sz="0" w:space="0" w:color="auto"/>
            <w:bottom w:val="none" w:sz="0" w:space="0" w:color="auto"/>
            <w:right w:val="none" w:sz="0" w:space="0" w:color="auto"/>
          </w:divBdr>
        </w:div>
        <w:div w:id="1325008716">
          <w:marLeft w:val="1051"/>
          <w:marRight w:val="0"/>
          <w:marTop w:val="0"/>
          <w:marBottom w:val="40"/>
          <w:divBdr>
            <w:top w:val="none" w:sz="0" w:space="0" w:color="auto"/>
            <w:left w:val="none" w:sz="0" w:space="0" w:color="auto"/>
            <w:bottom w:val="none" w:sz="0" w:space="0" w:color="auto"/>
            <w:right w:val="none" w:sz="0" w:space="0" w:color="auto"/>
          </w:divBdr>
        </w:div>
        <w:div w:id="1393700811">
          <w:marLeft w:val="1051"/>
          <w:marRight w:val="0"/>
          <w:marTop w:val="0"/>
          <w:marBottom w:val="40"/>
          <w:divBdr>
            <w:top w:val="none" w:sz="0" w:space="0" w:color="auto"/>
            <w:left w:val="none" w:sz="0" w:space="0" w:color="auto"/>
            <w:bottom w:val="none" w:sz="0" w:space="0" w:color="auto"/>
            <w:right w:val="none" w:sz="0" w:space="0" w:color="auto"/>
          </w:divBdr>
        </w:div>
        <w:div w:id="1503010542">
          <w:marLeft w:val="504"/>
          <w:marRight w:val="0"/>
          <w:marTop w:val="40"/>
          <w:marBottom w:val="40"/>
          <w:divBdr>
            <w:top w:val="none" w:sz="0" w:space="0" w:color="auto"/>
            <w:left w:val="none" w:sz="0" w:space="0" w:color="auto"/>
            <w:bottom w:val="none" w:sz="0" w:space="0" w:color="auto"/>
            <w:right w:val="none" w:sz="0" w:space="0" w:color="auto"/>
          </w:divBdr>
        </w:div>
        <w:div w:id="1517958057">
          <w:marLeft w:val="1051"/>
          <w:marRight w:val="0"/>
          <w:marTop w:val="0"/>
          <w:marBottom w:val="40"/>
          <w:divBdr>
            <w:top w:val="none" w:sz="0" w:space="0" w:color="auto"/>
            <w:left w:val="none" w:sz="0" w:space="0" w:color="auto"/>
            <w:bottom w:val="none" w:sz="0" w:space="0" w:color="auto"/>
            <w:right w:val="none" w:sz="0" w:space="0" w:color="auto"/>
          </w:divBdr>
        </w:div>
        <w:div w:id="1521624053">
          <w:marLeft w:val="504"/>
          <w:marRight w:val="0"/>
          <w:marTop w:val="40"/>
          <w:marBottom w:val="40"/>
          <w:divBdr>
            <w:top w:val="none" w:sz="0" w:space="0" w:color="auto"/>
            <w:left w:val="none" w:sz="0" w:space="0" w:color="auto"/>
            <w:bottom w:val="none" w:sz="0" w:space="0" w:color="auto"/>
            <w:right w:val="none" w:sz="0" w:space="0" w:color="auto"/>
          </w:divBdr>
        </w:div>
        <w:div w:id="1812207053">
          <w:marLeft w:val="1051"/>
          <w:marRight w:val="0"/>
          <w:marTop w:val="0"/>
          <w:marBottom w:val="40"/>
          <w:divBdr>
            <w:top w:val="none" w:sz="0" w:space="0" w:color="auto"/>
            <w:left w:val="none" w:sz="0" w:space="0" w:color="auto"/>
            <w:bottom w:val="none" w:sz="0" w:space="0" w:color="auto"/>
            <w:right w:val="none" w:sz="0" w:space="0" w:color="auto"/>
          </w:divBdr>
        </w:div>
        <w:div w:id="1837722680">
          <w:marLeft w:val="1051"/>
          <w:marRight w:val="0"/>
          <w:marTop w:val="0"/>
          <w:marBottom w:val="40"/>
          <w:divBdr>
            <w:top w:val="none" w:sz="0" w:space="0" w:color="auto"/>
            <w:left w:val="none" w:sz="0" w:space="0" w:color="auto"/>
            <w:bottom w:val="none" w:sz="0" w:space="0" w:color="auto"/>
            <w:right w:val="none" w:sz="0" w:space="0" w:color="auto"/>
          </w:divBdr>
        </w:div>
      </w:divsChild>
    </w:div>
    <w:div w:id="189151185">
      <w:bodyDiv w:val="1"/>
      <w:marLeft w:val="0"/>
      <w:marRight w:val="0"/>
      <w:marTop w:val="0"/>
      <w:marBottom w:val="0"/>
      <w:divBdr>
        <w:top w:val="none" w:sz="0" w:space="0" w:color="auto"/>
        <w:left w:val="none" w:sz="0" w:space="0" w:color="auto"/>
        <w:bottom w:val="none" w:sz="0" w:space="0" w:color="auto"/>
        <w:right w:val="none" w:sz="0" w:space="0" w:color="auto"/>
      </w:divBdr>
    </w:div>
    <w:div w:id="265966468">
      <w:bodyDiv w:val="1"/>
      <w:marLeft w:val="0"/>
      <w:marRight w:val="0"/>
      <w:marTop w:val="0"/>
      <w:marBottom w:val="0"/>
      <w:divBdr>
        <w:top w:val="none" w:sz="0" w:space="0" w:color="auto"/>
        <w:left w:val="none" w:sz="0" w:space="0" w:color="auto"/>
        <w:bottom w:val="none" w:sz="0" w:space="0" w:color="auto"/>
        <w:right w:val="none" w:sz="0" w:space="0" w:color="auto"/>
      </w:divBdr>
    </w:div>
    <w:div w:id="303778202">
      <w:bodyDiv w:val="1"/>
      <w:marLeft w:val="0"/>
      <w:marRight w:val="0"/>
      <w:marTop w:val="0"/>
      <w:marBottom w:val="0"/>
      <w:divBdr>
        <w:top w:val="none" w:sz="0" w:space="0" w:color="auto"/>
        <w:left w:val="none" w:sz="0" w:space="0" w:color="auto"/>
        <w:bottom w:val="none" w:sz="0" w:space="0" w:color="auto"/>
        <w:right w:val="none" w:sz="0" w:space="0" w:color="auto"/>
      </w:divBdr>
      <w:divsChild>
        <w:div w:id="280260985">
          <w:marLeft w:val="446"/>
          <w:marRight w:val="0"/>
          <w:marTop w:val="20"/>
          <w:marBottom w:val="80"/>
          <w:divBdr>
            <w:top w:val="none" w:sz="0" w:space="0" w:color="auto"/>
            <w:left w:val="none" w:sz="0" w:space="0" w:color="auto"/>
            <w:bottom w:val="none" w:sz="0" w:space="0" w:color="auto"/>
            <w:right w:val="none" w:sz="0" w:space="0" w:color="auto"/>
          </w:divBdr>
        </w:div>
        <w:div w:id="521014943">
          <w:marLeft w:val="446"/>
          <w:marRight w:val="0"/>
          <w:marTop w:val="20"/>
          <w:marBottom w:val="80"/>
          <w:divBdr>
            <w:top w:val="none" w:sz="0" w:space="0" w:color="auto"/>
            <w:left w:val="none" w:sz="0" w:space="0" w:color="auto"/>
            <w:bottom w:val="none" w:sz="0" w:space="0" w:color="auto"/>
            <w:right w:val="none" w:sz="0" w:space="0" w:color="auto"/>
          </w:divBdr>
        </w:div>
        <w:div w:id="1229728076">
          <w:marLeft w:val="446"/>
          <w:marRight w:val="0"/>
          <w:marTop w:val="20"/>
          <w:marBottom w:val="80"/>
          <w:divBdr>
            <w:top w:val="none" w:sz="0" w:space="0" w:color="auto"/>
            <w:left w:val="none" w:sz="0" w:space="0" w:color="auto"/>
            <w:bottom w:val="none" w:sz="0" w:space="0" w:color="auto"/>
            <w:right w:val="none" w:sz="0" w:space="0" w:color="auto"/>
          </w:divBdr>
        </w:div>
        <w:div w:id="1341814304">
          <w:marLeft w:val="446"/>
          <w:marRight w:val="0"/>
          <w:marTop w:val="20"/>
          <w:marBottom w:val="80"/>
          <w:divBdr>
            <w:top w:val="none" w:sz="0" w:space="0" w:color="auto"/>
            <w:left w:val="none" w:sz="0" w:space="0" w:color="auto"/>
            <w:bottom w:val="none" w:sz="0" w:space="0" w:color="auto"/>
            <w:right w:val="none" w:sz="0" w:space="0" w:color="auto"/>
          </w:divBdr>
        </w:div>
        <w:div w:id="1401631785">
          <w:marLeft w:val="446"/>
          <w:marRight w:val="0"/>
          <w:marTop w:val="20"/>
          <w:marBottom w:val="80"/>
          <w:divBdr>
            <w:top w:val="none" w:sz="0" w:space="0" w:color="auto"/>
            <w:left w:val="none" w:sz="0" w:space="0" w:color="auto"/>
            <w:bottom w:val="none" w:sz="0" w:space="0" w:color="auto"/>
            <w:right w:val="none" w:sz="0" w:space="0" w:color="auto"/>
          </w:divBdr>
        </w:div>
      </w:divsChild>
    </w:div>
    <w:div w:id="343826984">
      <w:bodyDiv w:val="1"/>
      <w:marLeft w:val="0"/>
      <w:marRight w:val="0"/>
      <w:marTop w:val="0"/>
      <w:marBottom w:val="0"/>
      <w:divBdr>
        <w:top w:val="none" w:sz="0" w:space="0" w:color="auto"/>
        <w:left w:val="none" w:sz="0" w:space="0" w:color="auto"/>
        <w:bottom w:val="none" w:sz="0" w:space="0" w:color="auto"/>
        <w:right w:val="none" w:sz="0" w:space="0" w:color="auto"/>
      </w:divBdr>
    </w:div>
    <w:div w:id="346254836">
      <w:bodyDiv w:val="1"/>
      <w:marLeft w:val="0"/>
      <w:marRight w:val="0"/>
      <w:marTop w:val="0"/>
      <w:marBottom w:val="0"/>
      <w:divBdr>
        <w:top w:val="none" w:sz="0" w:space="0" w:color="auto"/>
        <w:left w:val="none" w:sz="0" w:space="0" w:color="auto"/>
        <w:bottom w:val="none" w:sz="0" w:space="0" w:color="auto"/>
        <w:right w:val="none" w:sz="0" w:space="0" w:color="auto"/>
      </w:divBdr>
    </w:div>
    <w:div w:id="432483465">
      <w:bodyDiv w:val="1"/>
      <w:marLeft w:val="0"/>
      <w:marRight w:val="0"/>
      <w:marTop w:val="0"/>
      <w:marBottom w:val="0"/>
      <w:divBdr>
        <w:top w:val="none" w:sz="0" w:space="0" w:color="auto"/>
        <w:left w:val="none" w:sz="0" w:space="0" w:color="auto"/>
        <w:bottom w:val="none" w:sz="0" w:space="0" w:color="auto"/>
        <w:right w:val="none" w:sz="0" w:space="0" w:color="auto"/>
      </w:divBdr>
      <w:divsChild>
        <w:div w:id="28341531">
          <w:marLeft w:val="389"/>
          <w:marRight w:val="0"/>
          <w:marTop w:val="40"/>
          <w:marBottom w:val="40"/>
          <w:divBdr>
            <w:top w:val="none" w:sz="0" w:space="0" w:color="auto"/>
            <w:left w:val="none" w:sz="0" w:space="0" w:color="auto"/>
            <w:bottom w:val="none" w:sz="0" w:space="0" w:color="auto"/>
            <w:right w:val="none" w:sz="0" w:space="0" w:color="auto"/>
          </w:divBdr>
        </w:div>
        <w:div w:id="359014910">
          <w:marLeft w:val="389"/>
          <w:marRight w:val="0"/>
          <w:marTop w:val="40"/>
          <w:marBottom w:val="40"/>
          <w:divBdr>
            <w:top w:val="none" w:sz="0" w:space="0" w:color="auto"/>
            <w:left w:val="none" w:sz="0" w:space="0" w:color="auto"/>
            <w:bottom w:val="none" w:sz="0" w:space="0" w:color="auto"/>
            <w:right w:val="none" w:sz="0" w:space="0" w:color="auto"/>
          </w:divBdr>
        </w:div>
        <w:div w:id="393821413">
          <w:marLeft w:val="389"/>
          <w:marRight w:val="0"/>
          <w:marTop w:val="40"/>
          <w:marBottom w:val="40"/>
          <w:divBdr>
            <w:top w:val="none" w:sz="0" w:space="0" w:color="auto"/>
            <w:left w:val="none" w:sz="0" w:space="0" w:color="auto"/>
            <w:bottom w:val="none" w:sz="0" w:space="0" w:color="auto"/>
            <w:right w:val="none" w:sz="0" w:space="0" w:color="auto"/>
          </w:divBdr>
        </w:div>
        <w:div w:id="735710935">
          <w:marLeft w:val="389"/>
          <w:marRight w:val="0"/>
          <w:marTop w:val="40"/>
          <w:marBottom w:val="40"/>
          <w:divBdr>
            <w:top w:val="none" w:sz="0" w:space="0" w:color="auto"/>
            <w:left w:val="none" w:sz="0" w:space="0" w:color="auto"/>
            <w:bottom w:val="none" w:sz="0" w:space="0" w:color="auto"/>
            <w:right w:val="none" w:sz="0" w:space="0" w:color="auto"/>
          </w:divBdr>
        </w:div>
        <w:div w:id="736324514">
          <w:marLeft w:val="389"/>
          <w:marRight w:val="0"/>
          <w:marTop w:val="40"/>
          <w:marBottom w:val="40"/>
          <w:divBdr>
            <w:top w:val="none" w:sz="0" w:space="0" w:color="auto"/>
            <w:left w:val="none" w:sz="0" w:space="0" w:color="auto"/>
            <w:bottom w:val="none" w:sz="0" w:space="0" w:color="auto"/>
            <w:right w:val="none" w:sz="0" w:space="0" w:color="auto"/>
          </w:divBdr>
        </w:div>
        <w:div w:id="861163820">
          <w:marLeft w:val="389"/>
          <w:marRight w:val="0"/>
          <w:marTop w:val="40"/>
          <w:marBottom w:val="40"/>
          <w:divBdr>
            <w:top w:val="none" w:sz="0" w:space="0" w:color="auto"/>
            <w:left w:val="none" w:sz="0" w:space="0" w:color="auto"/>
            <w:bottom w:val="none" w:sz="0" w:space="0" w:color="auto"/>
            <w:right w:val="none" w:sz="0" w:space="0" w:color="auto"/>
          </w:divBdr>
        </w:div>
        <w:div w:id="902912564">
          <w:marLeft w:val="389"/>
          <w:marRight w:val="0"/>
          <w:marTop w:val="40"/>
          <w:marBottom w:val="40"/>
          <w:divBdr>
            <w:top w:val="none" w:sz="0" w:space="0" w:color="auto"/>
            <w:left w:val="none" w:sz="0" w:space="0" w:color="auto"/>
            <w:bottom w:val="none" w:sz="0" w:space="0" w:color="auto"/>
            <w:right w:val="none" w:sz="0" w:space="0" w:color="auto"/>
          </w:divBdr>
        </w:div>
        <w:div w:id="910194640">
          <w:marLeft w:val="389"/>
          <w:marRight w:val="0"/>
          <w:marTop w:val="40"/>
          <w:marBottom w:val="40"/>
          <w:divBdr>
            <w:top w:val="none" w:sz="0" w:space="0" w:color="auto"/>
            <w:left w:val="none" w:sz="0" w:space="0" w:color="auto"/>
            <w:bottom w:val="none" w:sz="0" w:space="0" w:color="auto"/>
            <w:right w:val="none" w:sz="0" w:space="0" w:color="auto"/>
          </w:divBdr>
        </w:div>
        <w:div w:id="1579169324">
          <w:marLeft w:val="389"/>
          <w:marRight w:val="0"/>
          <w:marTop w:val="40"/>
          <w:marBottom w:val="40"/>
          <w:divBdr>
            <w:top w:val="none" w:sz="0" w:space="0" w:color="auto"/>
            <w:left w:val="none" w:sz="0" w:space="0" w:color="auto"/>
            <w:bottom w:val="none" w:sz="0" w:space="0" w:color="auto"/>
            <w:right w:val="none" w:sz="0" w:space="0" w:color="auto"/>
          </w:divBdr>
        </w:div>
      </w:divsChild>
    </w:div>
    <w:div w:id="448940088">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9193771">
      <w:bodyDiv w:val="1"/>
      <w:marLeft w:val="0"/>
      <w:marRight w:val="0"/>
      <w:marTop w:val="0"/>
      <w:marBottom w:val="0"/>
      <w:divBdr>
        <w:top w:val="none" w:sz="0" w:space="0" w:color="auto"/>
        <w:left w:val="none" w:sz="0" w:space="0" w:color="auto"/>
        <w:bottom w:val="none" w:sz="0" w:space="0" w:color="auto"/>
        <w:right w:val="none" w:sz="0" w:space="0" w:color="auto"/>
      </w:divBdr>
    </w:div>
    <w:div w:id="626277868">
      <w:bodyDiv w:val="1"/>
      <w:marLeft w:val="0"/>
      <w:marRight w:val="0"/>
      <w:marTop w:val="0"/>
      <w:marBottom w:val="0"/>
      <w:divBdr>
        <w:top w:val="none" w:sz="0" w:space="0" w:color="auto"/>
        <w:left w:val="none" w:sz="0" w:space="0" w:color="auto"/>
        <w:bottom w:val="none" w:sz="0" w:space="0" w:color="auto"/>
        <w:right w:val="none" w:sz="0" w:space="0" w:color="auto"/>
      </w:divBdr>
    </w:div>
    <w:div w:id="628171735">
      <w:bodyDiv w:val="1"/>
      <w:marLeft w:val="0"/>
      <w:marRight w:val="0"/>
      <w:marTop w:val="0"/>
      <w:marBottom w:val="0"/>
      <w:divBdr>
        <w:top w:val="none" w:sz="0" w:space="0" w:color="auto"/>
        <w:left w:val="none" w:sz="0" w:space="0" w:color="auto"/>
        <w:bottom w:val="none" w:sz="0" w:space="0" w:color="auto"/>
        <w:right w:val="none" w:sz="0" w:space="0" w:color="auto"/>
      </w:divBdr>
      <w:divsChild>
        <w:div w:id="1074400666">
          <w:marLeft w:val="245"/>
          <w:marRight w:val="0"/>
          <w:marTop w:val="160"/>
          <w:marBottom w:val="0"/>
          <w:divBdr>
            <w:top w:val="none" w:sz="0" w:space="0" w:color="auto"/>
            <w:left w:val="none" w:sz="0" w:space="0" w:color="auto"/>
            <w:bottom w:val="none" w:sz="0" w:space="0" w:color="auto"/>
            <w:right w:val="none" w:sz="0" w:space="0" w:color="auto"/>
          </w:divBdr>
        </w:div>
        <w:div w:id="1119837205">
          <w:marLeft w:val="1022"/>
          <w:marRight w:val="0"/>
          <w:marTop w:val="20"/>
          <w:marBottom w:val="0"/>
          <w:divBdr>
            <w:top w:val="none" w:sz="0" w:space="0" w:color="auto"/>
            <w:left w:val="none" w:sz="0" w:space="0" w:color="auto"/>
            <w:bottom w:val="none" w:sz="0" w:space="0" w:color="auto"/>
            <w:right w:val="none" w:sz="0" w:space="0" w:color="auto"/>
          </w:divBdr>
        </w:div>
        <w:div w:id="1644577622">
          <w:marLeft w:val="1022"/>
          <w:marRight w:val="0"/>
          <w:marTop w:val="20"/>
          <w:marBottom w:val="0"/>
          <w:divBdr>
            <w:top w:val="none" w:sz="0" w:space="0" w:color="auto"/>
            <w:left w:val="none" w:sz="0" w:space="0" w:color="auto"/>
            <w:bottom w:val="none" w:sz="0" w:space="0" w:color="auto"/>
            <w:right w:val="none" w:sz="0" w:space="0" w:color="auto"/>
          </w:divBdr>
        </w:div>
      </w:divsChild>
    </w:div>
    <w:div w:id="674766068">
      <w:bodyDiv w:val="1"/>
      <w:marLeft w:val="0"/>
      <w:marRight w:val="0"/>
      <w:marTop w:val="0"/>
      <w:marBottom w:val="0"/>
      <w:divBdr>
        <w:top w:val="none" w:sz="0" w:space="0" w:color="auto"/>
        <w:left w:val="none" w:sz="0" w:space="0" w:color="auto"/>
        <w:bottom w:val="none" w:sz="0" w:space="0" w:color="auto"/>
        <w:right w:val="none" w:sz="0" w:space="0" w:color="auto"/>
      </w:divBdr>
    </w:div>
    <w:div w:id="675546652">
      <w:bodyDiv w:val="1"/>
      <w:marLeft w:val="0"/>
      <w:marRight w:val="0"/>
      <w:marTop w:val="0"/>
      <w:marBottom w:val="0"/>
      <w:divBdr>
        <w:top w:val="none" w:sz="0" w:space="0" w:color="auto"/>
        <w:left w:val="none" w:sz="0" w:space="0" w:color="auto"/>
        <w:bottom w:val="none" w:sz="0" w:space="0" w:color="auto"/>
        <w:right w:val="none" w:sz="0" w:space="0" w:color="auto"/>
      </w:divBdr>
    </w:div>
    <w:div w:id="687567489">
      <w:bodyDiv w:val="1"/>
      <w:marLeft w:val="0"/>
      <w:marRight w:val="0"/>
      <w:marTop w:val="0"/>
      <w:marBottom w:val="0"/>
      <w:divBdr>
        <w:top w:val="none" w:sz="0" w:space="0" w:color="auto"/>
        <w:left w:val="none" w:sz="0" w:space="0" w:color="auto"/>
        <w:bottom w:val="none" w:sz="0" w:space="0" w:color="auto"/>
        <w:right w:val="none" w:sz="0" w:space="0" w:color="auto"/>
      </w:divBdr>
      <w:divsChild>
        <w:div w:id="47807550">
          <w:marLeft w:val="562"/>
          <w:marRight w:val="0"/>
          <w:marTop w:val="0"/>
          <w:marBottom w:val="0"/>
          <w:divBdr>
            <w:top w:val="none" w:sz="0" w:space="0" w:color="auto"/>
            <w:left w:val="none" w:sz="0" w:space="0" w:color="auto"/>
            <w:bottom w:val="none" w:sz="0" w:space="0" w:color="auto"/>
            <w:right w:val="none" w:sz="0" w:space="0" w:color="auto"/>
          </w:divBdr>
        </w:div>
        <w:div w:id="698354334">
          <w:marLeft w:val="562"/>
          <w:marRight w:val="0"/>
          <w:marTop w:val="0"/>
          <w:marBottom w:val="0"/>
          <w:divBdr>
            <w:top w:val="none" w:sz="0" w:space="0" w:color="auto"/>
            <w:left w:val="none" w:sz="0" w:space="0" w:color="auto"/>
            <w:bottom w:val="none" w:sz="0" w:space="0" w:color="auto"/>
            <w:right w:val="none" w:sz="0" w:space="0" w:color="auto"/>
          </w:divBdr>
        </w:div>
        <w:div w:id="1490752898">
          <w:marLeft w:val="562"/>
          <w:marRight w:val="0"/>
          <w:marTop w:val="0"/>
          <w:marBottom w:val="0"/>
          <w:divBdr>
            <w:top w:val="none" w:sz="0" w:space="0" w:color="auto"/>
            <w:left w:val="none" w:sz="0" w:space="0" w:color="auto"/>
            <w:bottom w:val="none" w:sz="0" w:space="0" w:color="auto"/>
            <w:right w:val="none" w:sz="0" w:space="0" w:color="auto"/>
          </w:divBdr>
        </w:div>
        <w:div w:id="1743678711">
          <w:marLeft w:val="562"/>
          <w:marRight w:val="0"/>
          <w:marTop w:val="0"/>
          <w:marBottom w:val="0"/>
          <w:divBdr>
            <w:top w:val="none" w:sz="0" w:space="0" w:color="auto"/>
            <w:left w:val="none" w:sz="0" w:space="0" w:color="auto"/>
            <w:bottom w:val="none" w:sz="0" w:space="0" w:color="auto"/>
            <w:right w:val="none" w:sz="0" w:space="0" w:color="auto"/>
          </w:divBdr>
        </w:div>
        <w:div w:id="2005164003">
          <w:marLeft w:val="562"/>
          <w:marRight w:val="0"/>
          <w:marTop w:val="0"/>
          <w:marBottom w:val="0"/>
          <w:divBdr>
            <w:top w:val="none" w:sz="0" w:space="0" w:color="auto"/>
            <w:left w:val="none" w:sz="0" w:space="0" w:color="auto"/>
            <w:bottom w:val="none" w:sz="0" w:space="0" w:color="auto"/>
            <w:right w:val="none" w:sz="0" w:space="0" w:color="auto"/>
          </w:divBdr>
        </w:div>
      </w:divsChild>
    </w:div>
    <w:div w:id="690372864">
      <w:bodyDiv w:val="1"/>
      <w:marLeft w:val="0"/>
      <w:marRight w:val="0"/>
      <w:marTop w:val="0"/>
      <w:marBottom w:val="0"/>
      <w:divBdr>
        <w:top w:val="none" w:sz="0" w:space="0" w:color="auto"/>
        <w:left w:val="none" w:sz="0" w:space="0" w:color="auto"/>
        <w:bottom w:val="none" w:sz="0" w:space="0" w:color="auto"/>
        <w:right w:val="none" w:sz="0" w:space="0" w:color="auto"/>
      </w:divBdr>
    </w:div>
    <w:div w:id="937099966">
      <w:bodyDiv w:val="1"/>
      <w:marLeft w:val="0"/>
      <w:marRight w:val="0"/>
      <w:marTop w:val="0"/>
      <w:marBottom w:val="0"/>
      <w:divBdr>
        <w:top w:val="none" w:sz="0" w:space="0" w:color="auto"/>
        <w:left w:val="none" w:sz="0" w:space="0" w:color="auto"/>
        <w:bottom w:val="none" w:sz="0" w:space="0" w:color="auto"/>
        <w:right w:val="none" w:sz="0" w:space="0" w:color="auto"/>
      </w:divBdr>
      <w:divsChild>
        <w:div w:id="426582435">
          <w:marLeft w:val="562"/>
          <w:marRight w:val="0"/>
          <w:marTop w:val="40"/>
          <w:marBottom w:val="40"/>
          <w:divBdr>
            <w:top w:val="none" w:sz="0" w:space="0" w:color="auto"/>
            <w:left w:val="none" w:sz="0" w:space="0" w:color="auto"/>
            <w:bottom w:val="none" w:sz="0" w:space="0" w:color="auto"/>
            <w:right w:val="none" w:sz="0" w:space="0" w:color="auto"/>
          </w:divBdr>
        </w:div>
        <w:div w:id="507334282">
          <w:marLeft w:val="562"/>
          <w:marRight w:val="0"/>
          <w:marTop w:val="40"/>
          <w:marBottom w:val="40"/>
          <w:divBdr>
            <w:top w:val="none" w:sz="0" w:space="0" w:color="auto"/>
            <w:left w:val="none" w:sz="0" w:space="0" w:color="auto"/>
            <w:bottom w:val="none" w:sz="0" w:space="0" w:color="auto"/>
            <w:right w:val="none" w:sz="0" w:space="0" w:color="auto"/>
          </w:divBdr>
        </w:div>
        <w:div w:id="886835312">
          <w:marLeft w:val="562"/>
          <w:marRight w:val="0"/>
          <w:marTop w:val="40"/>
          <w:marBottom w:val="40"/>
          <w:divBdr>
            <w:top w:val="none" w:sz="0" w:space="0" w:color="auto"/>
            <w:left w:val="none" w:sz="0" w:space="0" w:color="auto"/>
            <w:bottom w:val="none" w:sz="0" w:space="0" w:color="auto"/>
            <w:right w:val="none" w:sz="0" w:space="0" w:color="auto"/>
          </w:divBdr>
        </w:div>
        <w:div w:id="922833271">
          <w:marLeft w:val="562"/>
          <w:marRight w:val="0"/>
          <w:marTop w:val="40"/>
          <w:marBottom w:val="40"/>
          <w:divBdr>
            <w:top w:val="none" w:sz="0" w:space="0" w:color="auto"/>
            <w:left w:val="none" w:sz="0" w:space="0" w:color="auto"/>
            <w:bottom w:val="none" w:sz="0" w:space="0" w:color="auto"/>
            <w:right w:val="none" w:sz="0" w:space="0" w:color="auto"/>
          </w:divBdr>
        </w:div>
        <w:div w:id="1550920654">
          <w:marLeft w:val="562"/>
          <w:marRight w:val="0"/>
          <w:marTop w:val="40"/>
          <w:marBottom w:val="40"/>
          <w:divBdr>
            <w:top w:val="none" w:sz="0" w:space="0" w:color="auto"/>
            <w:left w:val="none" w:sz="0" w:space="0" w:color="auto"/>
            <w:bottom w:val="none" w:sz="0" w:space="0" w:color="auto"/>
            <w:right w:val="none" w:sz="0" w:space="0" w:color="auto"/>
          </w:divBdr>
        </w:div>
        <w:div w:id="2061324939">
          <w:marLeft w:val="562"/>
          <w:marRight w:val="0"/>
          <w:marTop w:val="40"/>
          <w:marBottom w:val="40"/>
          <w:divBdr>
            <w:top w:val="none" w:sz="0" w:space="0" w:color="auto"/>
            <w:left w:val="none" w:sz="0" w:space="0" w:color="auto"/>
            <w:bottom w:val="none" w:sz="0" w:space="0" w:color="auto"/>
            <w:right w:val="none" w:sz="0" w:space="0" w:color="auto"/>
          </w:divBdr>
        </w:div>
      </w:divsChild>
    </w:div>
    <w:div w:id="951785142">
      <w:bodyDiv w:val="1"/>
      <w:marLeft w:val="0"/>
      <w:marRight w:val="0"/>
      <w:marTop w:val="0"/>
      <w:marBottom w:val="0"/>
      <w:divBdr>
        <w:top w:val="none" w:sz="0" w:space="0" w:color="auto"/>
        <w:left w:val="none" w:sz="0" w:space="0" w:color="auto"/>
        <w:bottom w:val="none" w:sz="0" w:space="0" w:color="auto"/>
        <w:right w:val="none" w:sz="0" w:space="0" w:color="auto"/>
      </w:divBdr>
      <w:divsChild>
        <w:div w:id="647440835">
          <w:marLeft w:val="1022"/>
          <w:marRight w:val="0"/>
          <w:marTop w:val="20"/>
          <w:marBottom w:val="0"/>
          <w:divBdr>
            <w:top w:val="none" w:sz="0" w:space="0" w:color="auto"/>
            <w:left w:val="none" w:sz="0" w:space="0" w:color="auto"/>
            <w:bottom w:val="none" w:sz="0" w:space="0" w:color="auto"/>
            <w:right w:val="none" w:sz="0" w:space="0" w:color="auto"/>
          </w:divBdr>
        </w:div>
        <w:div w:id="1699817600">
          <w:marLeft w:val="1022"/>
          <w:marRight w:val="0"/>
          <w:marTop w:val="20"/>
          <w:marBottom w:val="0"/>
          <w:divBdr>
            <w:top w:val="none" w:sz="0" w:space="0" w:color="auto"/>
            <w:left w:val="none" w:sz="0" w:space="0" w:color="auto"/>
            <w:bottom w:val="none" w:sz="0" w:space="0" w:color="auto"/>
            <w:right w:val="none" w:sz="0" w:space="0" w:color="auto"/>
          </w:divBdr>
        </w:div>
        <w:div w:id="1843621680">
          <w:marLeft w:val="245"/>
          <w:marRight w:val="0"/>
          <w:marTop w:val="160"/>
          <w:marBottom w:val="0"/>
          <w:divBdr>
            <w:top w:val="none" w:sz="0" w:space="0" w:color="auto"/>
            <w:left w:val="none" w:sz="0" w:space="0" w:color="auto"/>
            <w:bottom w:val="none" w:sz="0" w:space="0" w:color="auto"/>
            <w:right w:val="none" w:sz="0" w:space="0" w:color="auto"/>
          </w:divBdr>
        </w:div>
        <w:div w:id="1860000438">
          <w:marLeft w:val="1022"/>
          <w:marRight w:val="0"/>
          <w:marTop w:val="20"/>
          <w:marBottom w:val="0"/>
          <w:divBdr>
            <w:top w:val="none" w:sz="0" w:space="0" w:color="auto"/>
            <w:left w:val="none" w:sz="0" w:space="0" w:color="auto"/>
            <w:bottom w:val="none" w:sz="0" w:space="0" w:color="auto"/>
            <w:right w:val="none" w:sz="0" w:space="0" w:color="auto"/>
          </w:divBdr>
        </w:div>
        <w:div w:id="2037389472">
          <w:marLeft w:val="1022"/>
          <w:marRight w:val="0"/>
          <w:marTop w:val="20"/>
          <w:marBottom w:val="0"/>
          <w:divBdr>
            <w:top w:val="none" w:sz="0" w:space="0" w:color="auto"/>
            <w:left w:val="none" w:sz="0" w:space="0" w:color="auto"/>
            <w:bottom w:val="none" w:sz="0" w:space="0" w:color="auto"/>
            <w:right w:val="none" w:sz="0" w:space="0" w:color="auto"/>
          </w:divBdr>
        </w:div>
      </w:divsChild>
    </w:div>
    <w:div w:id="1010907804">
      <w:bodyDiv w:val="1"/>
      <w:marLeft w:val="0"/>
      <w:marRight w:val="0"/>
      <w:marTop w:val="0"/>
      <w:marBottom w:val="0"/>
      <w:divBdr>
        <w:top w:val="none" w:sz="0" w:space="0" w:color="auto"/>
        <w:left w:val="none" w:sz="0" w:space="0" w:color="auto"/>
        <w:bottom w:val="none" w:sz="0" w:space="0" w:color="auto"/>
        <w:right w:val="none" w:sz="0" w:space="0" w:color="auto"/>
      </w:divBdr>
    </w:div>
    <w:div w:id="1013383415">
      <w:bodyDiv w:val="1"/>
      <w:marLeft w:val="0"/>
      <w:marRight w:val="0"/>
      <w:marTop w:val="0"/>
      <w:marBottom w:val="0"/>
      <w:divBdr>
        <w:top w:val="none" w:sz="0" w:space="0" w:color="auto"/>
        <w:left w:val="none" w:sz="0" w:space="0" w:color="auto"/>
        <w:bottom w:val="none" w:sz="0" w:space="0" w:color="auto"/>
        <w:right w:val="none" w:sz="0" w:space="0" w:color="auto"/>
      </w:divBdr>
      <w:divsChild>
        <w:div w:id="460728266">
          <w:marLeft w:val="1411"/>
          <w:marRight w:val="0"/>
          <w:marTop w:val="20"/>
          <w:marBottom w:val="20"/>
          <w:divBdr>
            <w:top w:val="none" w:sz="0" w:space="0" w:color="auto"/>
            <w:left w:val="none" w:sz="0" w:space="0" w:color="auto"/>
            <w:bottom w:val="none" w:sz="0" w:space="0" w:color="auto"/>
            <w:right w:val="none" w:sz="0" w:space="0" w:color="auto"/>
          </w:divBdr>
        </w:div>
        <w:div w:id="975766912">
          <w:marLeft w:val="1411"/>
          <w:marRight w:val="0"/>
          <w:marTop w:val="20"/>
          <w:marBottom w:val="20"/>
          <w:divBdr>
            <w:top w:val="none" w:sz="0" w:space="0" w:color="auto"/>
            <w:left w:val="none" w:sz="0" w:space="0" w:color="auto"/>
            <w:bottom w:val="none" w:sz="0" w:space="0" w:color="auto"/>
            <w:right w:val="none" w:sz="0" w:space="0" w:color="auto"/>
          </w:divBdr>
        </w:div>
        <w:div w:id="1089816409">
          <w:marLeft w:val="1411"/>
          <w:marRight w:val="0"/>
          <w:marTop w:val="20"/>
          <w:marBottom w:val="20"/>
          <w:divBdr>
            <w:top w:val="none" w:sz="0" w:space="0" w:color="auto"/>
            <w:left w:val="none" w:sz="0" w:space="0" w:color="auto"/>
            <w:bottom w:val="none" w:sz="0" w:space="0" w:color="auto"/>
            <w:right w:val="none" w:sz="0" w:space="0" w:color="auto"/>
          </w:divBdr>
        </w:div>
        <w:div w:id="1316450381">
          <w:marLeft w:val="1411"/>
          <w:marRight w:val="0"/>
          <w:marTop w:val="20"/>
          <w:marBottom w:val="20"/>
          <w:divBdr>
            <w:top w:val="none" w:sz="0" w:space="0" w:color="auto"/>
            <w:left w:val="none" w:sz="0" w:space="0" w:color="auto"/>
            <w:bottom w:val="none" w:sz="0" w:space="0" w:color="auto"/>
            <w:right w:val="none" w:sz="0" w:space="0" w:color="auto"/>
          </w:divBdr>
        </w:div>
        <w:div w:id="1949308220">
          <w:marLeft w:val="1411"/>
          <w:marRight w:val="0"/>
          <w:marTop w:val="20"/>
          <w:marBottom w:val="20"/>
          <w:divBdr>
            <w:top w:val="none" w:sz="0" w:space="0" w:color="auto"/>
            <w:left w:val="none" w:sz="0" w:space="0" w:color="auto"/>
            <w:bottom w:val="none" w:sz="0" w:space="0" w:color="auto"/>
            <w:right w:val="none" w:sz="0" w:space="0" w:color="auto"/>
          </w:divBdr>
        </w:div>
        <w:div w:id="1958288554">
          <w:marLeft w:val="1411"/>
          <w:marRight w:val="0"/>
          <w:marTop w:val="20"/>
          <w:marBottom w:val="20"/>
          <w:divBdr>
            <w:top w:val="none" w:sz="0" w:space="0" w:color="auto"/>
            <w:left w:val="none" w:sz="0" w:space="0" w:color="auto"/>
            <w:bottom w:val="none" w:sz="0" w:space="0" w:color="auto"/>
            <w:right w:val="none" w:sz="0" w:space="0" w:color="auto"/>
          </w:divBdr>
        </w:div>
      </w:divsChild>
    </w:div>
    <w:div w:id="1071654533">
      <w:bodyDiv w:val="1"/>
      <w:marLeft w:val="0"/>
      <w:marRight w:val="0"/>
      <w:marTop w:val="0"/>
      <w:marBottom w:val="0"/>
      <w:divBdr>
        <w:top w:val="none" w:sz="0" w:space="0" w:color="auto"/>
        <w:left w:val="none" w:sz="0" w:space="0" w:color="auto"/>
        <w:bottom w:val="none" w:sz="0" w:space="0" w:color="auto"/>
        <w:right w:val="none" w:sz="0" w:space="0" w:color="auto"/>
      </w:divBdr>
    </w:div>
    <w:div w:id="1164204133">
      <w:bodyDiv w:val="1"/>
      <w:marLeft w:val="0"/>
      <w:marRight w:val="0"/>
      <w:marTop w:val="0"/>
      <w:marBottom w:val="0"/>
      <w:divBdr>
        <w:top w:val="none" w:sz="0" w:space="0" w:color="auto"/>
        <w:left w:val="none" w:sz="0" w:space="0" w:color="auto"/>
        <w:bottom w:val="none" w:sz="0" w:space="0" w:color="auto"/>
        <w:right w:val="none" w:sz="0" w:space="0" w:color="auto"/>
      </w:divBdr>
      <w:divsChild>
        <w:div w:id="1481583047">
          <w:marLeft w:val="1022"/>
          <w:marRight w:val="0"/>
          <w:marTop w:val="20"/>
          <w:marBottom w:val="0"/>
          <w:divBdr>
            <w:top w:val="none" w:sz="0" w:space="0" w:color="auto"/>
            <w:left w:val="none" w:sz="0" w:space="0" w:color="auto"/>
            <w:bottom w:val="none" w:sz="0" w:space="0" w:color="auto"/>
            <w:right w:val="none" w:sz="0" w:space="0" w:color="auto"/>
          </w:divBdr>
        </w:div>
        <w:div w:id="1888878651">
          <w:marLeft w:val="245"/>
          <w:marRight w:val="0"/>
          <w:marTop w:val="160"/>
          <w:marBottom w:val="0"/>
          <w:divBdr>
            <w:top w:val="none" w:sz="0" w:space="0" w:color="auto"/>
            <w:left w:val="none" w:sz="0" w:space="0" w:color="auto"/>
            <w:bottom w:val="none" w:sz="0" w:space="0" w:color="auto"/>
            <w:right w:val="none" w:sz="0" w:space="0" w:color="auto"/>
          </w:divBdr>
        </w:div>
        <w:div w:id="2117863763">
          <w:marLeft w:val="1022"/>
          <w:marRight w:val="0"/>
          <w:marTop w:val="20"/>
          <w:marBottom w:val="0"/>
          <w:divBdr>
            <w:top w:val="none" w:sz="0" w:space="0" w:color="auto"/>
            <w:left w:val="none" w:sz="0" w:space="0" w:color="auto"/>
            <w:bottom w:val="none" w:sz="0" w:space="0" w:color="auto"/>
            <w:right w:val="none" w:sz="0" w:space="0" w:color="auto"/>
          </w:divBdr>
        </w:div>
      </w:divsChild>
    </w:div>
    <w:div w:id="1165626554">
      <w:bodyDiv w:val="1"/>
      <w:marLeft w:val="0"/>
      <w:marRight w:val="0"/>
      <w:marTop w:val="0"/>
      <w:marBottom w:val="0"/>
      <w:divBdr>
        <w:top w:val="none" w:sz="0" w:space="0" w:color="auto"/>
        <w:left w:val="none" w:sz="0" w:space="0" w:color="auto"/>
        <w:bottom w:val="none" w:sz="0" w:space="0" w:color="auto"/>
        <w:right w:val="none" w:sz="0" w:space="0" w:color="auto"/>
      </w:divBdr>
    </w:div>
    <w:div w:id="1179349404">
      <w:bodyDiv w:val="1"/>
      <w:marLeft w:val="0"/>
      <w:marRight w:val="0"/>
      <w:marTop w:val="0"/>
      <w:marBottom w:val="0"/>
      <w:divBdr>
        <w:top w:val="none" w:sz="0" w:space="0" w:color="auto"/>
        <w:left w:val="none" w:sz="0" w:space="0" w:color="auto"/>
        <w:bottom w:val="none" w:sz="0" w:space="0" w:color="auto"/>
        <w:right w:val="none" w:sz="0" w:space="0" w:color="auto"/>
      </w:divBdr>
    </w:div>
    <w:div w:id="1190533207">
      <w:bodyDiv w:val="1"/>
      <w:marLeft w:val="0"/>
      <w:marRight w:val="0"/>
      <w:marTop w:val="0"/>
      <w:marBottom w:val="0"/>
      <w:divBdr>
        <w:top w:val="none" w:sz="0" w:space="0" w:color="auto"/>
        <w:left w:val="none" w:sz="0" w:space="0" w:color="auto"/>
        <w:bottom w:val="none" w:sz="0" w:space="0" w:color="auto"/>
        <w:right w:val="none" w:sz="0" w:space="0" w:color="auto"/>
      </w:divBdr>
    </w:div>
    <w:div w:id="1256129479">
      <w:bodyDiv w:val="1"/>
      <w:marLeft w:val="0"/>
      <w:marRight w:val="0"/>
      <w:marTop w:val="0"/>
      <w:marBottom w:val="0"/>
      <w:divBdr>
        <w:top w:val="none" w:sz="0" w:space="0" w:color="auto"/>
        <w:left w:val="none" w:sz="0" w:space="0" w:color="auto"/>
        <w:bottom w:val="none" w:sz="0" w:space="0" w:color="auto"/>
        <w:right w:val="none" w:sz="0" w:space="0" w:color="auto"/>
      </w:divBdr>
    </w:div>
    <w:div w:id="1345673660">
      <w:bodyDiv w:val="1"/>
      <w:marLeft w:val="0"/>
      <w:marRight w:val="0"/>
      <w:marTop w:val="0"/>
      <w:marBottom w:val="0"/>
      <w:divBdr>
        <w:top w:val="none" w:sz="0" w:space="0" w:color="auto"/>
        <w:left w:val="none" w:sz="0" w:space="0" w:color="auto"/>
        <w:bottom w:val="none" w:sz="0" w:space="0" w:color="auto"/>
        <w:right w:val="none" w:sz="0" w:space="0" w:color="auto"/>
      </w:divBdr>
    </w:div>
    <w:div w:id="1363168326">
      <w:bodyDiv w:val="1"/>
      <w:marLeft w:val="0"/>
      <w:marRight w:val="0"/>
      <w:marTop w:val="0"/>
      <w:marBottom w:val="0"/>
      <w:divBdr>
        <w:top w:val="none" w:sz="0" w:space="0" w:color="auto"/>
        <w:left w:val="none" w:sz="0" w:space="0" w:color="auto"/>
        <w:bottom w:val="none" w:sz="0" w:space="0" w:color="auto"/>
        <w:right w:val="none" w:sz="0" w:space="0" w:color="auto"/>
      </w:divBdr>
      <w:divsChild>
        <w:div w:id="203493287">
          <w:marLeft w:val="360"/>
          <w:marRight w:val="0"/>
          <w:marTop w:val="0"/>
          <w:marBottom w:val="0"/>
          <w:divBdr>
            <w:top w:val="none" w:sz="0" w:space="0" w:color="auto"/>
            <w:left w:val="none" w:sz="0" w:space="0" w:color="auto"/>
            <w:bottom w:val="none" w:sz="0" w:space="0" w:color="auto"/>
            <w:right w:val="none" w:sz="0" w:space="0" w:color="auto"/>
          </w:divBdr>
        </w:div>
        <w:div w:id="973634969">
          <w:marLeft w:val="360"/>
          <w:marRight w:val="0"/>
          <w:marTop w:val="0"/>
          <w:marBottom w:val="0"/>
          <w:divBdr>
            <w:top w:val="none" w:sz="0" w:space="0" w:color="auto"/>
            <w:left w:val="none" w:sz="0" w:space="0" w:color="auto"/>
            <w:bottom w:val="none" w:sz="0" w:space="0" w:color="auto"/>
            <w:right w:val="none" w:sz="0" w:space="0" w:color="auto"/>
          </w:divBdr>
        </w:div>
        <w:div w:id="1251624693">
          <w:marLeft w:val="360"/>
          <w:marRight w:val="0"/>
          <w:marTop w:val="0"/>
          <w:marBottom w:val="0"/>
          <w:divBdr>
            <w:top w:val="none" w:sz="0" w:space="0" w:color="auto"/>
            <w:left w:val="none" w:sz="0" w:space="0" w:color="auto"/>
            <w:bottom w:val="none" w:sz="0" w:space="0" w:color="auto"/>
            <w:right w:val="none" w:sz="0" w:space="0" w:color="auto"/>
          </w:divBdr>
        </w:div>
        <w:div w:id="1964922952">
          <w:marLeft w:val="360"/>
          <w:marRight w:val="0"/>
          <w:marTop w:val="0"/>
          <w:marBottom w:val="0"/>
          <w:divBdr>
            <w:top w:val="none" w:sz="0" w:space="0" w:color="auto"/>
            <w:left w:val="none" w:sz="0" w:space="0" w:color="auto"/>
            <w:bottom w:val="none" w:sz="0" w:space="0" w:color="auto"/>
            <w:right w:val="none" w:sz="0" w:space="0" w:color="auto"/>
          </w:divBdr>
        </w:div>
      </w:divsChild>
    </w:div>
    <w:div w:id="1401094181">
      <w:bodyDiv w:val="1"/>
      <w:marLeft w:val="0"/>
      <w:marRight w:val="0"/>
      <w:marTop w:val="0"/>
      <w:marBottom w:val="0"/>
      <w:divBdr>
        <w:top w:val="none" w:sz="0" w:space="0" w:color="auto"/>
        <w:left w:val="none" w:sz="0" w:space="0" w:color="auto"/>
        <w:bottom w:val="none" w:sz="0" w:space="0" w:color="auto"/>
        <w:right w:val="none" w:sz="0" w:space="0" w:color="auto"/>
      </w:divBdr>
      <w:divsChild>
        <w:div w:id="132413596">
          <w:marLeft w:val="562"/>
          <w:marRight w:val="0"/>
          <w:marTop w:val="40"/>
          <w:marBottom w:val="60"/>
          <w:divBdr>
            <w:top w:val="none" w:sz="0" w:space="0" w:color="auto"/>
            <w:left w:val="none" w:sz="0" w:space="0" w:color="auto"/>
            <w:bottom w:val="none" w:sz="0" w:space="0" w:color="auto"/>
            <w:right w:val="none" w:sz="0" w:space="0" w:color="auto"/>
          </w:divBdr>
        </w:div>
        <w:div w:id="610669539">
          <w:marLeft w:val="562"/>
          <w:marRight w:val="0"/>
          <w:marTop w:val="40"/>
          <w:marBottom w:val="60"/>
          <w:divBdr>
            <w:top w:val="none" w:sz="0" w:space="0" w:color="auto"/>
            <w:left w:val="none" w:sz="0" w:space="0" w:color="auto"/>
            <w:bottom w:val="none" w:sz="0" w:space="0" w:color="auto"/>
            <w:right w:val="none" w:sz="0" w:space="0" w:color="auto"/>
          </w:divBdr>
        </w:div>
        <w:div w:id="1702701161">
          <w:marLeft w:val="562"/>
          <w:marRight w:val="0"/>
          <w:marTop w:val="40"/>
          <w:marBottom w:val="60"/>
          <w:divBdr>
            <w:top w:val="none" w:sz="0" w:space="0" w:color="auto"/>
            <w:left w:val="none" w:sz="0" w:space="0" w:color="auto"/>
            <w:bottom w:val="none" w:sz="0" w:space="0" w:color="auto"/>
            <w:right w:val="none" w:sz="0" w:space="0" w:color="auto"/>
          </w:divBdr>
        </w:div>
      </w:divsChild>
    </w:div>
    <w:div w:id="1414089889">
      <w:bodyDiv w:val="1"/>
      <w:marLeft w:val="0"/>
      <w:marRight w:val="0"/>
      <w:marTop w:val="0"/>
      <w:marBottom w:val="0"/>
      <w:divBdr>
        <w:top w:val="none" w:sz="0" w:space="0" w:color="auto"/>
        <w:left w:val="none" w:sz="0" w:space="0" w:color="auto"/>
        <w:bottom w:val="none" w:sz="0" w:space="0" w:color="auto"/>
        <w:right w:val="none" w:sz="0" w:space="0" w:color="auto"/>
      </w:divBdr>
    </w:div>
    <w:div w:id="1455363803">
      <w:bodyDiv w:val="1"/>
      <w:marLeft w:val="0"/>
      <w:marRight w:val="0"/>
      <w:marTop w:val="0"/>
      <w:marBottom w:val="0"/>
      <w:divBdr>
        <w:top w:val="none" w:sz="0" w:space="0" w:color="auto"/>
        <w:left w:val="none" w:sz="0" w:space="0" w:color="auto"/>
        <w:bottom w:val="none" w:sz="0" w:space="0" w:color="auto"/>
        <w:right w:val="none" w:sz="0" w:space="0" w:color="auto"/>
      </w:divBdr>
    </w:div>
    <w:div w:id="1468887860">
      <w:bodyDiv w:val="1"/>
      <w:marLeft w:val="0"/>
      <w:marRight w:val="0"/>
      <w:marTop w:val="0"/>
      <w:marBottom w:val="0"/>
      <w:divBdr>
        <w:top w:val="none" w:sz="0" w:space="0" w:color="auto"/>
        <w:left w:val="none" w:sz="0" w:space="0" w:color="auto"/>
        <w:bottom w:val="none" w:sz="0" w:space="0" w:color="auto"/>
        <w:right w:val="none" w:sz="0" w:space="0" w:color="auto"/>
      </w:divBdr>
      <w:divsChild>
        <w:div w:id="125130420">
          <w:marLeft w:val="562"/>
          <w:marRight w:val="0"/>
          <w:marTop w:val="40"/>
          <w:marBottom w:val="60"/>
          <w:divBdr>
            <w:top w:val="none" w:sz="0" w:space="0" w:color="auto"/>
            <w:left w:val="none" w:sz="0" w:space="0" w:color="auto"/>
            <w:bottom w:val="none" w:sz="0" w:space="0" w:color="auto"/>
            <w:right w:val="none" w:sz="0" w:space="0" w:color="auto"/>
          </w:divBdr>
        </w:div>
        <w:div w:id="332879177">
          <w:marLeft w:val="562"/>
          <w:marRight w:val="0"/>
          <w:marTop w:val="40"/>
          <w:marBottom w:val="60"/>
          <w:divBdr>
            <w:top w:val="none" w:sz="0" w:space="0" w:color="auto"/>
            <w:left w:val="none" w:sz="0" w:space="0" w:color="auto"/>
            <w:bottom w:val="none" w:sz="0" w:space="0" w:color="auto"/>
            <w:right w:val="none" w:sz="0" w:space="0" w:color="auto"/>
          </w:divBdr>
        </w:div>
        <w:div w:id="805050337">
          <w:marLeft w:val="562"/>
          <w:marRight w:val="0"/>
          <w:marTop w:val="40"/>
          <w:marBottom w:val="60"/>
          <w:divBdr>
            <w:top w:val="none" w:sz="0" w:space="0" w:color="auto"/>
            <w:left w:val="none" w:sz="0" w:space="0" w:color="auto"/>
            <w:bottom w:val="none" w:sz="0" w:space="0" w:color="auto"/>
            <w:right w:val="none" w:sz="0" w:space="0" w:color="auto"/>
          </w:divBdr>
        </w:div>
        <w:div w:id="1041320840">
          <w:marLeft w:val="562"/>
          <w:marRight w:val="0"/>
          <w:marTop w:val="40"/>
          <w:marBottom w:val="60"/>
          <w:divBdr>
            <w:top w:val="none" w:sz="0" w:space="0" w:color="auto"/>
            <w:left w:val="none" w:sz="0" w:space="0" w:color="auto"/>
            <w:bottom w:val="none" w:sz="0" w:space="0" w:color="auto"/>
            <w:right w:val="none" w:sz="0" w:space="0" w:color="auto"/>
          </w:divBdr>
        </w:div>
        <w:div w:id="1421835127">
          <w:marLeft w:val="562"/>
          <w:marRight w:val="0"/>
          <w:marTop w:val="40"/>
          <w:marBottom w:val="60"/>
          <w:divBdr>
            <w:top w:val="none" w:sz="0" w:space="0" w:color="auto"/>
            <w:left w:val="none" w:sz="0" w:space="0" w:color="auto"/>
            <w:bottom w:val="none" w:sz="0" w:space="0" w:color="auto"/>
            <w:right w:val="none" w:sz="0" w:space="0" w:color="auto"/>
          </w:divBdr>
        </w:div>
        <w:div w:id="1525050280">
          <w:marLeft w:val="562"/>
          <w:marRight w:val="0"/>
          <w:marTop w:val="40"/>
          <w:marBottom w:val="60"/>
          <w:divBdr>
            <w:top w:val="none" w:sz="0" w:space="0" w:color="auto"/>
            <w:left w:val="none" w:sz="0" w:space="0" w:color="auto"/>
            <w:bottom w:val="none" w:sz="0" w:space="0" w:color="auto"/>
            <w:right w:val="none" w:sz="0" w:space="0" w:color="auto"/>
          </w:divBdr>
        </w:div>
      </w:divsChild>
    </w:div>
    <w:div w:id="1582565629">
      <w:bodyDiv w:val="1"/>
      <w:marLeft w:val="0"/>
      <w:marRight w:val="0"/>
      <w:marTop w:val="0"/>
      <w:marBottom w:val="0"/>
      <w:divBdr>
        <w:top w:val="none" w:sz="0" w:space="0" w:color="auto"/>
        <w:left w:val="none" w:sz="0" w:space="0" w:color="auto"/>
        <w:bottom w:val="none" w:sz="0" w:space="0" w:color="auto"/>
        <w:right w:val="none" w:sz="0" w:space="0" w:color="auto"/>
      </w:divBdr>
      <w:divsChild>
        <w:div w:id="107815827">
          <w:marLeft w:val="346"/>
          <w:marRight w:val="0"/>
          <w:marTop w:val="20"/>
          <w:marBottom w:val="20"/>
          <w:divBdr>
            <w:top w:val="none" w:sz="0" w:space="0" w:color="auto"/>
            <w:left w:val="none" w:sz="0" w:space="0" w:color="auto"/>
            <w:bottom w:val="none" w:sz="0" w:space="0" w:color="auto"/>
            <w:right w:val="none" w:sz="0" w:space="0" w:color="auto"/>
          </w:divBdr>
        </w:div>
        <w:div w:id="1471510113">
          <w:marLeft w:val="346"/>
          <w:marRight w:val="0"/>
          <w:marTop w:val="20"/>
          <w:marBottom w:val="20"/>
          <w:divBdr>
            <w:top w:val="none" w:sz="0" w:space="0" w:color="auto"/>
            <w:left w:val="none" w:sz="0" w:space="0" w:color="auto"/>
            <w:bottom w:val="none" w:sz="0" w:space="0" w:color="auto"/>
            <w:right w:val="none" w:sz="0" w:space="0" w:color="auto"/>
          </w:divBdr>
        </w:div>
        <w:div w:id="1498299963">
          <w:marLeft w:val="346"/>
          <w:marRight w:val="0"/>
          <w:marTop w:val="20"/>
          <w:marBottom w:val="20"/>
          <w:divBdr>
            <w:top w:val="none" w:sz="0" w:space="0" w:color="auto"/>
            <w:left w:val="none" w:sz="0" w:space="0" w:color="auto"/>
            <w:bottom w:val="none" w:sz="0" w:space="0" w:color="auto"/>
            <w:right w:val="none" w:sz="0" w:space="0" w:color="auto"/>
          </w:divBdr>
        </w:div>
      </w:divsChild>
    </w:div>
    <w:div w:id="1644652121">
      <w:bodyDiv w:val="1"/>
      <w:marLeft w:val="0"/>
      <w:marRight w:val="0"/>
      <w:marTop w:val="0"/>
      <w:marBottom w:val="0"/>
      <w:divBdr>
        <w:top w:val="none" w:sz="0" w:space="0" w:color="auto"/>
        <w:left w:val="none" w:sz="0" w:space="0" w:color="auto"/>
        <w:bottom w:val="none" w:sz="0" w:space="0" w:color="auto"/>
        <w:right w:val="none" w:sz="0" w:space="0" w:color="auto"/>
      </w:divBdr>
      <w:divsChild>
        <w:div w:id="852914341">
          <w:marLeft w:val="907"/>
          <w:marRight w:val="0"/>
          <w:marTop w:val="0"/>
          <w:marBottom w:val="0"/>
          <w:divBdr>
            <w:top w:val="none" w:sz="0" w:space="0" w:color="auto"/>
            <w:left w:val="none" w:sz="0" w:space="0" w:color="auto"/>
            <w:bottom w:val="none" w:sz="0" w:space="0" w:color="auto"/>
            <w:right w:val="none" w:sz="0" w:space="0" w:color="auto"/>
          </w:divBdr>
        </w:div>
        <w:div w:id="988947451">
          <w:marLeft w:val="446"/>
          <w:marRight w:val="0"/>
          <w:marTop w:val="0"/>
          <w:marBottom w:val="0"/>
          <w:divBdr>
            <w:top w:val="none" w:sz="0" w:space="0" w:color="auto"/>
            <w:left w:val="none" w:sz="0" w:space="0" w:color="auto"/>
            <w:bottom w:val="none" w:sz="0" w:space="0" w:color="auto"/>
            <w:right w:val="none" w:sz="0" w:space="0" w:color="auto"/>
          </w:divBdr>
        </w:div>
        <w:div w:id="1080709468">
          <w:marLeft w:val="446"/>
          <w:marRight w:val="0"/>
          <w:marTop w:val="0"/>
          <w:marBottom w:val="0"/>
          <w:divBdr>
            <w:top w:val="none" w:sz="0" w:space="0" w:color="auto"/>
            <w:left w:val="none" w:sz="0" w:space="0" w:color="auto"/>
            <w:bottom w:val="none" w:sz="0" w:space="0" w:color="auto"/>
            <w:right w:val="none" w:sz="0" w:space="0" w:color="auto"/>
          </w:divBdr>
        </w:div>
        <w:div w:id="1205483920">
          <w:marLeft w:val="446"/>
          <w:marRight w:val="0"/>
          <w:marTop w:val="0"/>
          <w:marBottom w:val="0"/>
          <w:divBdr>
            <w:top w:val="none" w:sz="0" w:space="0" w:color="auto"/>
            <w:left w:val="none" w:sz="0" w:space="0" w:color="auto"/>
            <w:bottom w:val="none" w:sz="0" w:space="0" w:color="auto"/>
            <w:right w:val="none" w:sz="0" w:space="0" w:color="auto"/>
          </w:divBdr>
        </w:div>
        <w:div w:id="1444836057">
          <w:marLeft w:val="446"/>
          <w:marRight w:val="0"/>
          <w:marTop w:val="0"/>
          <w:marBottom w:val="0"/>
          <w:divBdr>
            <w:top w:val="none" w:sz="0" w:space="0" w:color="auto"/>
            <w:left w:val="none" w:sz="0" w:space="0" w:color="auto"/>
            <w:bottom w:val="none" w:sz="0" w:space="0" w:color="auto"/>
            <w:right w:val="none" w:sz="0" w:space="0" w:color="auto"/>
          </w:divBdr>
        </w:div>
        <w:div w:id="1626233459">
          <w:marLeft w:val="446"/>
          <w:marRight w:val="0"/>
          <w:marTop w:val="0"/>
          <w:marBottom w:val="0"/>
          <w:divBdr>
            <w:top w:val="none" w:sz="0" w:space="0" w:color="auto"/>
            <w:left w:val="none" w:sz="0" w:space="0" w:color="auto"/>
            <w:bottom w:val="none" w:sz="0" w:space="0" w:color="auto"/>
            <w:right w:val="none" w:sz="0" w:space="0" w:color="auto"/>
          </w:divBdr>
        </w:div>
        <w:div w:id="1919166263">
          <w:marLeft w:val="446"/>
          <w:marRight w:val="0"/>
          <w:marTop w:val="0"/>
          <w:marBottom w:val="0"/>
          <w:divBdr>
            <w:top w:val="none" w:sz="0" w:space="0" w:color="auto"/>
            <w:left w:val="none" w:sz="0" w:space="0" w:color="auto"/>
            <w:bottom w:val="none" w:sz="0" w:space="0" w:color="auto"/>
            <w:right w:val="none" w:sz="0" w:space="0" w:color="auto"/>
          </w:divBdr>
        </w:div>
        <w:div w:id="2055229400">
          <w:marLeft w:val="446"/>
          <w:marRight w:val="0"/>
          <w:marTop w:val="0"/>
          <w:marBottom w:val="0"/>
          <w:divBdr>
            <w:top w:val="none" w:sz="0" w:space="0" w:color="auto"/>
            <w:left w:val="none" w:sz="0" w:space="0" w:color="auto"/>
            <w:bottom w:val="none" w:sz="0" w:space="0" w:color="auto"/>
            <w:right w:val="none" w:sz="0" w:space="0" w:color="auto"/>
          </w:divBdr>
        </w:div>
        <w:div w:id="2136369025">
          <w:marLeft w:val="907"/>
          <w:marRight w:val="0"/>
          <w:marTop w:val="0"/>
          <w:marBottom w:val="0"/>
          <w:divBdr>
            <w:top w:val="none" w:sz="0" w:space="0" w:color="auto"/>
            <w:left w:val="none" w:sz="0" w:space="0" w:color="auto"/>
            <w:bottom w:val="none" w:sz="0" w:space="0" w:color="auto"/>
            <w:right w:val="none" w:sz="0" w:space="0" w:color="auto"/>
          </w:divBdr>
        </w:div>
      </w:divsChild>
    </w:div>
    <w:div w:id="1679037331">
      <w:bodyDiv w:val="1"/>
      <w:marLeft w:val="0"/>
      <w:marRight w:val="0"/>
      <w:marTop w:val="0"/>
      <w:marBottom w:val="0"/>
      <w:divBdr>
        <w:top w:val="none" w:sz="0" w:space="0" w:color="auto"/>
        <w:left w:val="none" w:sz="0" w:space="0" w:color="auto"/>
        <w:bottom w:val="none" w:sz="0" w:space="0" w:color="auto"/>
        <w:right w:val="none" w:sz="0" w:space="0" w:color="auto"/>
      </w:divBdr>
      <w:divsChild>
        <w:div w:id="875196326">
          <w:marLeft w:val="446"/>
          <w:marRight w:val="0"/>
          <w:marTop w:val="160"/>
          <w:marBottom w:val="0"/>
          <w:divBdr>
            <w:top w:val="none" w:sz="0" w:space="0" w:color="auto"/>
            <w:left w:val="none" w:sz="0" w:space="0" w:color="auto"/>
            <w:bottom w:val="none" w:sz="0" w:space="0" w:color="auto"/>
            <w:right w:val="none" w:sz="0" w:space="0" w:color="auto"/>
          </w:divBdr>
        </w:div>
      </w:divsChild>
    </w:div>
    <w:div w:id="1684281778">
      <w:bodyDiv w:val="1"/>
      <w:marLeft w:val="0"/>
      <w:marRight w:val="0"/>
      <w:marTop w:val="0"/>
      <w:marBottom w:val="0"/>
      <w:divBdr>
        <w:top w:val="none" w:sz="0" w:space="0" w:color="auto"/>
        <w:left w:val="none" w:sz="0" w:space="0" w:color="auto"/>
        <w:bottom w:val="none" w:sz="0" w:space="0" w:color="auto"/>
        <w:right w:val="none" w:sz="0" w:space="0" w:color="auto"/>
      </w:divBdr>
      <w:divsChild>
        <w:div w:id="21631558">
          <w:marLeft w:val="850"/>
          <w:marRight w:val="0"/>
          <w:marTop w:val="0"/>
          <w:marBottom w:val="0"/>
          <w:divBdr>
            <w:top w:val="none" w:sz="0" w:space="0" w:color="auto"/>
            <w:left w:val="none" w:sz="0" w:space="0" w:color="auto"/>
            <w:bottom w:val="none" w:sz="0" w:space="0" w:color="auto"/>
            <w:right w:val="none" w:sz="0" w:space="0" w:color="auto"/>
          </w:divBdr>
        </w:div>
        <w:div w:id="647324168">
          <w:marLeft w:val="850"/>
          <w:marRight w:val="0"/>
          <w:marTop w:val="0"/>
          <w:marBottom w:val="0"/>
          <w:divBdr>
            <w:top w:val="none" w:sz="0" w:space="0" w:color="auto"/>
            <w:left w:val="none" w:sz="0" w:space="0" w:color="auto"/>
            <w:bottom w:val="none" w:sz="0" w:space="0" w:color="auto"/>
            <w:right w:val="none" w:sz="0" w:space="0" w:color="auto"/>
          </w:divBdr>
        </w:div>
        <w:div w:id="672605904">
          <w:marLeft w:val="850"/>
          <w:marRight w:val="0"/>
          <w:marTop w:val="0"/>
          <w:marBottom w:val="240"/>
          <w:divBdr>
            <w:top w:val="none" w:sz="0" w:space="0" w:color="auto"/>
            <w:left w:val="none" w:sz="0" w:space="0" w:color="auto"/>
            <w:bottom w:val="none" w:sz="0" w:space="0" w:color="auto"/>
            <w:right w:val="none" w:sz="0" w:space="0" w:color="auto"/>
          </w:divBdr>
        </w:div>
        <w:div w:id="752899158">
          <w:marLeft w:val="850"/>
          <w:marRight w:val="0"/>
          <w:marTop w:val="0"/>
          <w:marBottom w:val="0"/>
          <w:divBdr>
            <w:top w:val="none" w:sz="0" w:space="0" w:color="auto"/>
            <w:left w:val="none" w:sz="0" w:space="0" w:color="auto"/>
            <w:bottom w:val="none" w:sz="0" w:space="0" w:color="auto"/>
            <w:right w:val="none" w:sz="0" w:space="0" w:color="auto"/>
          </w:divBdr>
        </w:div>
        <w:div w:id="1051345424">
          <w:marLeft w:val="850"/>
          <w:marRight w:val="0"/>
          <w:marTop w:val="0"/>
          <w:marBottom w:val="240"/>
          <w:divBdr>
            <w:top w:val="none" w:sz="0" w:space="0" w:color="auto"/>
            <w:left w:val="none" w:sz="0" w:space="0" w:color="auto"/>
            <w:bottom w:val="none" w:sz="0" w:space="0" w:color="auto"/>
            <w:right w:val="none" w:sz="0" w:space="0" w:color="auto"/>
          </w:divBdr>
        </w:div>
        <w:div w:id="1234969862">
          <w:marLeft w:val="850"/>
          <w:marRight w:val="0"/>
          <w:marTop w:val="0"/>
          <w:marBottom w:val="0"/>
          <w:divBdr>
            <w:top w:val="none" w:sz="0" w:space="0" w:color="auto"/>
            <w:left w:val="none" w:sz="0" w:space="0" w:color="auto"/>
            <w:bottom w:val="none" w:sz="0" w:space="0" w:color="auto"/>
            <w:right w:val="none" w:sz="0" w:space="0" w:color="auto"/>
          </w:divBdr>
        </w:div>
        <w:div w:id="1285502313">
          <w:marLeft w:val="850"/>
          <w:marRight w:val="0"/>
          <w:marTop w:val="0"/>
          <w:marBottom w:val="0"/>
          <w:divBdr>
            <w:top w:val="none" w:sz="0" w:space="0" w:color="auto"/>
            <w:left w:val="none" w:sz="0" w:space="0" w:color="auto"/>
            <w:bottom w:val="none" w:sz="0" w:space="0" w:color="auto"/>
            <w:right w:val="none" w:sz="0" w:space="0" w:color="auto"/>
          </w:divBdr>
        </w:div>
        <w:div w:id="1754617725">
          <w:marLeft w:val="850"/>
          <w:marRight w:val="0"/>
          <w:marTop w:val="0"/>
          <w:marBottom w:val="0"/>
          <w:divBdr>
            <w:top w:val="none" w:sz="0" w:space="0" w:color="auto"/>
            <w:left w:val="none" w:sz="0" w:space="0" w:color="auto"/>
            <w:bottom w:val="none" w:sz="0" w:space="0" w:color="auto"/>
            <w:right w:val="none" w:sz="0" w:space="0" w:color="auto"/>
          </w:divBdr>
        </w:div>
        <w:div w:id="1877234159">
          <w:marLeft w:val="850"/>
          <w:marRight w:val="0"/>
          <w:marTop w:val="0"/>
          <w:marBottom w:val="240"/>
          <w:divBdr>
            <w:top w:val="none" w:sz="0" w:space="0" w:color="auto"/>
            <w:left w:val="none" w:sz="0" w:space="0" w:color="auto"/>
            <w:bottom w:val="none" w:sz="0" w:space="0" w:color="auto"/>
            <w:right w:val="none" w:sz="0" w:space="0" w:color="auto"/>
          </w:divBdr>
        </w:div>
        <w:div w:id="1909025108">
          <w:marLeft w:val="850"/>
          <w:marRight w:val="0"/>
          <w:marTop w:val="0"/>
          <w:marBottom w:val="0"/>
          <w:divBdr>
            <w:top w:val="none" w:sz="0" w:space="0" w:color="auto"/>
            <w:left w:val="none" w:sz="0" w:space="0" w:color="auto"/>
            <w:bottom w:val="none" w:sz="0" w:space="0" w:color="auto"/>
            <w:right w:val="none" w:sz="0" w:space="0" w:color="auto"/>
          </w:divBdr>
        </w:div>
      </w:divsChild>
    </w:div>
    <w:div w:id="1689869786">
      <w:bodyDiv w:val="1"/>
      <w:marLeft w:val="0"/>
      <w:marRight w:val="0"/>
      <w:marTop w:val="0"/>
      <w:marBottom w:val="0"/>
      <w:divBdr>
        <w:top w:val="none" w:sz="0" w:space="0" w:color="auto"/>
        <w:left w:val="none" w:sz="0" w:space="0" w:color="auto"/>
        <w:bottom w:val="none" w:sz="0" w:space="0" w:color="auto"/>
        <w:right w:val="none" w:sz="0" w:space="0" w:color="auto"/>
      </w:divBdr>
    </w:div>
    <w:div w:id="1763261723">
      <w:bodyDiv w:val="1"/>
      <w:marLeft w:val="0"/>
      <w:marRight w:val="0"/>
      <w:marTop w:val="0"/>
      <w:marBottom w:val="0"/>
      <w:divBdr>
        <w:top w:val="none" w:sz="0" w:space="0" w:color="auto"/>
        <w:left w:val="none" w:sz="0" w:space="0" w:color="auto"/>
        <w:bottom w:val="none" w:sz="0" w:space="0" w:color="auto"/>
        <w:right w:val="none" w:sz="0" w:space="0" w:color="auto"/>
      </w:divBdr>
    </w:div>
    <w:div w:id="1806510697">
      <w:bodyDiv w:val="1"/>
      <w:marLeft w:val="0"/>
      <w:marRight w:val="0"/>
      <w:marTop w:val="0"/>
      <w:marBottom w:val="0"/>
      <w:divBdr>
        <w:top w:val="none" w:sz="0" w:space="0" w:color="auto"/>
        <w:left w:val="none" w:sz="0" w:space="0" w:color="auto"/>
        <w:bottom w:val="none" w:sz="0" w:space="0" w:color="auto"/>
        <w:right w:val="none" w:sz="0" w:space="0" w:color="auto"/>
      </w:divBdr>
    </w:div>
    <w:div w:id="1912500141">
      <w:bodyDiv w:val="1"/>
      <w:marLeft w:val="0"/>
      <w:marRight w:val="0"/>
      <w:marTop w:val="0"/>
      <w:marBottom w:val="0"/>
      <w:divBdr>
        <w:top w:val="none" w:sz="0" w:space="0" w:color="auto"/>
        <w:left w:val="none" w:sz="0" w:space="0" w:color="auto"/>
        <w:bottom w:val="none" w:sz="0" w:space="0" w:color="auto"/>
        <w:right w:val="none" w:sz="0" w:space="0" w:color="auto"/>
      </w:divBdr>
    </w:div>
    <w:div w:id="1918129340">
      <w:bodyDiv w:val="1"/>
      <w:marLeft w:val="0"/>
      <w:marRight w:val="0"/>
      <w:marTop w:val="0"/>
      <w:marBottom w:val="0"/>
      <w:divBdr>
        <w:top w:val="none" w:sz="0" w:space="0" w:color="auto"/>
        <w:left w:val="none" w:sz="0" w:space="0" w:color="auto"/>
        <w:bottom w:val="none" w:sz="0" w:space="0" w:color="auto"/>
        <w:right w:val="none" w:sz="0" w:space="0" w:color="auto"/>
      </w:divBdr>
      <w:divsChild>
        <w:div w:id="803544882">
          <w:marLeft w:val="360"/>
          <w:marRight w:val="0"/>
          <w:marTop w:val="0"/>
          <w:marBottom w:val="0"/>
          <w:divBdr>
            <w:top w:val="none" w:sz="0" w:space="0" w:color="auto"/>
            <w:left w:val="none" w:sz="0" w:space="0" w:color="auto"/>
            <w:bottom w:val="none" w:sz="0" w:space="0" w:color="auto"/>
            <w:right w:val="none" w:sz="0" w:space="0" w:color="auto"/>
          </w:divBdr>
        </w:div>
        <w:div w:id="872424146">
          <w:marLeft w:val="1022"/>
          <w:marRight w:val="0"/>
          <w:marTop w:val="20"/>
          <w:marBottom w:val="0"/>
          <w:divBdr>
            <w:top w:val="none" w:sz="0" w:space="0" w:color="auto"/>
            <w:left w:val="none" w:sz="0" w:space="0" w:color="auto"/>
            <w:bottom w:val="none" w:sz="0" w:space="0" w:color="auto"/>
            <w:right w:val="none" w:sz="0" w:space="0" w:color="auto"/>
          </w:divBdr>
        </w:div>
        <w:div w:id="1937051849">
          <w:marLeft w:val="1022"/>
          <w:marRight w:val="0"/>
          <w:marTop w:val="20"/>
          <w:marBottom w:val="0"/>
          <w:divBdr>
            <w:top w:val="none" w:sz="0" w:space="0" w:color="auto"/>
            <w:left w:val="none" w:sz="0" w:space="0" w:color="auto"/>
            <w:bottom w:val="none" w:sz="0" w:space="0" w:color="auto"/>
            <w:right w:val="none" w:sz="0" w:space="0" w:color="auto"/>
          </w:divBdr>
        </w:div>
      </w:divsChild>
    </w:div>
    <w:div w:id="1952933667">
      <w:bodyDiv w:val="1"/>
      <w:marLeft w:val="0"/>
      <w:marRight w:val="0"/>
      <w:marTop w:val="0"/>
      <w:marBottom w:val="0"/>
      <w:divBdr>
        <w:top w:val="none" w:sz="0" w:space="0" w:color="auto"/>
        <w:left w:val="none" w:sz="0" w:space="0" w:color="auto"/>
        <w:bottom w:val="none" w:sz="0" w:space="0" w:color="auto"/>
        <w:right w:val="none" w:sz="0" w:space="0" w:color="auto"/>
      </w:divBdr>
      <w:divsChild>
        <w:div w:id="120921874">
          <w:marLeft w:val="734"/>
          <w:marRight w:val="0"/>
          <w:marTop w:val="20"/>
          <w:marBottom w:val="20"/>
          <w:divBdr>
            <w:top w:val="none" w:sz="0" w:space="0" w:color="auto"/>
            <w:left w:val="none" w:sz="0" w:space="0" w:color="auto"/>
            <w:bottom w:val="none" w:sz="0" w:space="0" w:color="auto"/>
            <w:right w:val="none" w:sz="0" w:space="0" w:color="auto"/>
          </w:divBdr>
        </w:div>
        <w:div w:id="279342849">
          <w:marLeft w:val="734"/>
          <w:marRight w:val="0"/>
          <w:marTop w:val="20"/>
          <w:marBottom w:val="20"/>
          <w:divBdr>
            <w:top w:val="none" w:sz="0" w:space="0" w:color="auto"/>
            <w:left w:val="none" w:sz="0" w:space="0" w:color="auto"/>
            <w:bottom w:val="none" w:sz="0" w:space="0" w:color="auto"/>
            <w:right w:val="none" w:sz="0" w:space="0" w:color="auto"/>
          </w:divBdr>
        </w:div>
        <w:div w:id="1039089507">
          <w:marLeft w:val="734"/>
          <w:marRight w:val="0"/>
          <w:marTop w:val="20"/>
          <w:marBottom w:val="20"/>
          <w:divBdr>
            <w:top w:val="none" w:sz="0" w:space="0" w:color="auto"/>
            <w:left w:val="none" w:sz="0" w:space="0" w:color="auto"/>
            <w:bottom w:val="none" w:sz="0" w:space="0" w:color="auto"/>
            <w:right w:val="none" w:sz="0" w:space="0" w:color="auto"/>
          </w:divBdr>
        </w:div>
        <w:div w:id="1569222930">
          <w:marLeft w:val="734"/>
          <w:marRight w:val="0"/>
          <w:marTop w:val="20"/>
          <w:marBottom w:val="20"/>
          <w:divBdr>
            <w:top w:val="none" w:sz="0" w:space="0" w:color="auto"/>
            <w:left w:val="none" w:sz="0" w:space="0" w:color="auto"/>
            <w:bottom w:val="none" w:sz="0" w:space="0" w:color="auto"/>
            <w:right w:val="none" w:sz="0" w:space="0" w:color="auto"/>
          </w:divBdr>
        </w:div>
      </w:divsChild>
    </w:div>
    <w:div w:id="2017683086">
      <w:bodyDiv w:val="1"/>
      <w:marLeft w:val="0"/>
      <w:marRight w:val="0"/>
      <w:marTop w:val="0"/>
      <w:marBottom w:val="0"/>
      <w:divBdr>
        <w:top w:val="none" w:sz="0" w:space="0" w:color="auto"/>
        <w:left w:val="none" w:sz="0" w:space="0" w:color="auto"/>
        <w:bottom w:val="none" w:sz="0" w:space="0" w:color="auto"/>
        <w:right w:val="none" w:sz="0" w:space="0" w:color="auto"/>
      </w:divBdr>
    </w:div>
    <w:div w:id="2030374840">
      <w:bodyDiv w:val="1"/>
      <w:marLeft w:val="0"/>
      <w:marRight w:val="0"/>
      <w:marTop w:val="0"/>
      <w:marBottom w:val="0"/>
      <w:divBdr>
        <w:top w:val="none" w:sz="0" w:space="0" w:color="auto"/>
        <w:left w:val="none" w:sz="0" w:space="0" w:color="auto"/>
        <w:bottom w:val="none" w:sz="0" w:space="0" w:color="auto"/>
        <w:right w:val="none" w:sz="0" w:space="0" w:color="auto"/>
      </w:divBdr>
      <w:divsChild>
        <w:div w:id="66344704">
          <w:marLeft w:val="850"/>
          <w:marRight w:val="0"/>
          <w:marTop w:val="0"/>
          <w:marBottom w:val="100"/>
          <w:divBdr>
            <w:top w:val="none" w:sz="0" w:space="0" w:color="auto"/>
            <w:left w:val="none" w:sz="0" w:space="0" w:color="auto"/>
            <w:bottom w:val="none" w:sz="0" w:space="0" w:color="auto"/>
            <w:right w:val="none" w:sz="0" w:space="0" w:color="auto"/>
          </w:divBdr>
        </w:div>
        <w:div w:id="160700358">
          <w:marLeft w:val="850"/>
          <w:marRight w:val="0"/>
          <w:marTop w:val="0"/>
          <w:marBottom w:val="100"/>
          <w:divBdr>
            <w:top w:val="none" w:sz="0" w:space="0" w:color="auto"/>
            <w:left w:val="none" w:sz="0" w:space="0" w:color="auto"/>
            <w:bottom w:val="none" w:sz="0" w:space="0" w:color="auto"/>
            <w:right w:val="none" w:sz="0" w:space="0" w:color="auto"/>
          </w:divBdr>
        </w:div>
        <w:div w:id="438183464">
          <w:marLeft w:val="850"/>
          <w:marRight w:val="0"/>
          <w:marTop w:val="0"/>
          <w:marBottom w:val="280"/>
          <w:divBdr>
            <w:top w:val="none" w:sz="0" w:space="0" w:color="auto"/>
            <w:left w:val="none" w:sz="0" w:space="0" w:color="auto"/>
            <w:bottom w:val="none" w:sz="0" w:space="0" w:color="auto"/>
            <w:right w:val="none" w:sz="0" w:space="0" w:color="auto"/>
          </w:divBdr>
        </w:div>
        <w:div w:id="438529618">
          <w:marLeft w:val="850"/>
          <w:marRight w:val="0"/>
          <w:marTop w:val="0"/>
          <w:marBottom w:val="280"/>
          <w:divBdr>
            <w:top w:val="none" w:sz="0" w:space="0" w:color="auto"/>
            <w:left w:val="none" w:sz="0" w:space="0" w:color="auto"/>
            <w:bottom w:val="none" w:sz="0" w:space="0" w:color="auto"/>
            <w:right w:val="none" w:sz="0" w:space="0" w:color="auto"/>
          </w:divBdr>
        </w:div>
        <w:div w:id="440876510">
          <w:marLeft w:val="850"/>
          <w:marRight w:val="0"/>
          <w:marTop w:val="0"/>
          <w:marBottom w:val="100"/>
          <w:divBdr>
            <w:top w:val="none" w:sz="0" w:space="0" w:color="auto"/>
            <w:left w:val="none" w:sz="0" w:space="0" w:color="auto"/>
            <w:bottom w:val="none" w:sz="0" w:space="0" w:color="auto"/>
            <w:right w:val="none" w:sz="0" w:space="0" w:color="auto"/>
          </w:divBdr>
        </w:div>
        <w:div w:id="1067726468">
          <w:marLeft w:val="850"/>
          <w:marRight w:val="0"/>
          <w:marTop w:val="0"/>
          <w:marBottom w:val="100"/>
          <w:divBdr>
            <w:top w:val="none" w:sz="0" w:space="0" w:color="auto"/>
            <w:left w:val="none" w:sz="0" w:space="0" w:color="auto"/>
            <w:bottom w:val="none" w:sz="0" w:space="0" w:color="auto"/>
            <w:right w:val="none" w:sz="0" w:space="0" w:color="auto"/>
          </w:divBdr>
        </w:div>
        <w:div w:id="1112213253">
          <w:marLeft w:val="850"/>
          <w:marRight w:val="0"/>
          <w:marTop w:val="0"/>
          <w:marBottom w:val="100"/>
          <w:divBdr>
            <w:top w:val="none" w:sz="0" w:space="0" w:color="auto"/>
            <w:left w:val="none" w:sz="0" w:space="0" w:color="auto"/>
            <w:bottom w:val="none" w:sz="0" w:space="0" w:color="auto"/>
            <w:right w:val="none" w:sz="0" w:space="0" w:color="auto"/>
          </w:divBdr>
        </w:div>
        <w:div w:id="1849365625">
          <w:marLeft w:val="850"/>
          <w:marRight w:val="0"/>
          <w:marTop w:val="0"/>
          <w:marBottom w:val="280"/>
          <w:divBdr>
            <w:top w:val="none" w:sz="0" w:space="0" w:color="auto"/>
            <w:left w:val="none" w:sz="0" w:space="0" w:color="auto"/>
            <w:bottom w:val="none" w:sz="0" w:space="0" w:color="auto"/>
            <w:right w:val="none" w:sz="0" w:space="0" w:color="auto"/>
          </w:divBdr>
        </w:div>
      </w:divsChild>
    </w:div>
    <w:div w:id="2051033075">
      <w:bodyDiv w:val="1"/>
      <w:marLeft w:val="0"/>
      <w:marRight w:val="0"/>
      <w:marTop w:val="0"/>
      <w:marBottom w:val="0"/>
      <w:divBdr>
        <w:top w:val="none" w:sz="0" w:space="0" w:color="auto"/>
        <w:left w:val="none" w:sz="0" w:space="0" w:color="auto"/>
        <w:bottom w:val="none" w:sz="0" w:space="0" w:color="auto"/>
        <w:right w:val="none" w:sz="0" w:space="0" w:color="auto"/>
      </w:divBdr>
      <w:divsChild>
        <w:div w:id="383482954">
          <w:marLeft w:val="562"/>
          <w:marRight w:val="0"/>
          <w:marTop w:val="40"/>
          <w:marBottom w:val="40"/>
          <w:divBdr>
            <w:top w:val="none" w:sz="0" w:space="0" w:color="auto"/>
            <w:left w:val="none" w:sz="0" w:space="0" w:color="auto"/>
            <w:bottom w:val="none" w:sz="0" w:space="0" w:color="auto"/>
            <w:right w:val="none" w:sz="0" w:space="0" w:color="auto"/>
          </w:divBdr>
        </w:div>
        <w:div w:id="457602006">
          <w:marLeft w:val="562"/>
          <w:marRight w:val="0"/>
          <w:marTop w:val="40"/>
          <w:marBottom w:val="40"/>
          <w:divBdr>
            <w:top w:val="none" w:sz="0" w:space="0" w:color="auto"/>
            <w:left w:val="none" w:sz="0" w:space="0" w:color="auto"/>
            <w:bottom w:val="none" w:sz="0" w:space="0" w:color="auto"/>
            <w:right w:val="none" w:sz="0" w:space="0" w:color="auto"/>
          </w:divBdr>
        </w:div>
        <w:div w:id="508833652">
          <w:marLeft w:val="562"/>
          <w:marRight w:val="0"/>
          <w:marTop w:val="40"/>
          <w:marBottom w:val="40"/>
          <w:divBdr>
            <w:top w:val="none" w:sz="0" w:space="0" w:color="auto"/>
            <w:left w:val="none" w:sz="0" w:space="0" w:color="auto"/>
            <w:bottom w:val="none" w:sz="0" w:space="0" w:color="auto"/>
            <w:right w:val="none" w:sz="0" w:space="0" w:color="auto"/>
          </w:divBdr>
        </w:div>
        <w:div w:id="567693638">
          <w:marLeft w:val="562"/>
          <w:marRight w:val="0"/>
          <w:marTop w:val="40"/>
          <w:marBottom w:val="40"/>
          <w:divBdr>
            <w:top w:val="none" w:sz="0" w:space="0" w:color="auto"/>
            <w:left w:val="none" w:sz="0" w:space="0" w:color="auto"/>
            <w:bottom w:val="none" w:sz="0" w:space="0" w:color="auto"/>
            <w:right w:val="none" w:sz="0" w:space="0" w:color="auto"/>
          </w:divBdr>
        </w:div>
        <w:div w:id="1081678369">
          <w:marLeft w:val="562"/>
          <w:marRight w:val="0"/>
          <w:marTop w:val="40"/>
          <w:marBottom w:val="40"/>
          <w:divBdr>
            <w:top w:val="none" w:sz="0" w:space="0" w:color="auto"/>
            <w:left w:val="none" w:sz="0" w:space="0" w:color="auto"/>
            <w:bottom w:val="none" w:sz="0" w:space="0" w:color="auto"/>
            <w:right w:val="none" w:sz="0" w:space="0" w:color="auto"/>
          </w:divBdr>
        </w:div>
        <w:div w:id="1610549254">
          <w:marLeft w:val="562"/>
          <w:marRight w:val="0"/>
          <w:marTop w:val="40"/>
          <w:marBottom w:val="40"/>
          <w:divBdr>
            <w:top w:val="none" w:sz="0" w:space="0" w:color="auto"/>
            <w:left w:val="none" w:sz="0" w:space="0" w:color="auto"/>
            <w:bottom w:val="none" w:sz="0" w:space="0" w:color="auto"/>
            <w:right w:val="none" w:sz="0" w:space="0" w:color="auto"/>
          </w:divBdr>
        </w:div>
      </w:divsChild>
    </w:div>
    <w:div w:id="2079209831">
      <w:bodyDiv w:val="1"/>
      <w:marLeft w:val="0"/>
      <w:marRight w:val="0"/>
      <w:marTop w:val="0"/>
      <w:marBottom w:val="0"/>
      <w:divBdr>
        <w:top w:val="none" w:sz="0" w:space="0" w:color="auto"/>
        <w:left w:val="none" w:sz="0" w:space="0" w:color="auto"/>
        <w:bottom w:val="none" w:sz="0" w:space="0" w:color="auto"/>
        <w:right w:val="none" w:sz="0" w:space="0" w:color="auto"/>
      </w:divBdr>
    </w:div>
    <w:div w:id="2096241511">
      <w:bodyDiv w:val="1"/>
      <w:marLeft w:val="0"/>
      <w:marRight w:val="0"/>
      <w:marTop w:val="0"/>
      <w:marBottom w:val="0"/>
      <w:divBdr>
        <w:top w:val="none" w:sz="0" w:space="0" w:color="auto"/>
        <w:left w:val="none" w:sz="0" w:space="0" w:color="auto"/>
        <w:bottom w:val="none" w:sz="0" w:space="0" w:color="auto"/>
        <w:right w:val="none" w:sz="0" w:space="0" w:color="auto"/>
      </w:divBdr>
    </w:div>
    <w:div w:id="2114284220">
      <w:bodyDiv w:val="1"/>
      <w:marLeft w:val="0"/>
      <w:marRight w:val="0"/>
      <w:marTop w:val="0"/>
      <w:marBottom w:val="0"/>
      <w:divBdr>
        <w:top w:val="none" w:sz="0" w:space="0" w:color="auto"/>
        <w:left w:val="none" w:sz="0" w:space="0" w:color="auto"/>
        <w:bottom w:val="none" w:sz="0" w:space="0" w:color="auto"/>
        <w:right w:val="none" w:sz="0" w:space="0" w:color="auto"/>
      </w:divBdr>
    </w:div>
    <w:div w:id="2133858638">
      <w:bodyDiv w:val="1"/>
      <w:marLeft w:val="0"/>
      <w:marRight w:val="0"/>
      <w:marTop w:val="0"/>
      <w:marBottom w:val="0"/>
      <w:divBdr>
        <w:top w:val="none" w:sz="0" w:space="0" w:color="auto"/>
        <w:left w:val="none" w:sz="0" w:space="0" w:color="auto"/>
        <w:bottom w:val="none" w:sz="0" w:space="0" w:color="auto"/>
        <w:right w:val="none" w:sz="0" w:space="0" w:color="auto"/>
      </w:divBdr>
      <w:divsChild>
        <w:div w:id="374164897">
          <w:marLeft w:val="389"/>
          <w:marRight w:val="0"/>
          <w:marTop w:val="0"/>
          <w:marBottom w:val="0"/>
          <w:divBdr>
            <w:top w:val="none" w:sz="0" w:space="0" w:color="auto"/>
            <w:left w:val="none" w:sz="0" w:space="0" w:color="auto"/>
            <w:bottom w:val="none" w:sz="0" w:space="0" w:color="auto"/>
            <w:right w:val="none" w:sz="0" w:space="0" w:color="auto"/>
          </w:divBdr>
        </w:div>
        <w:div w:id="475726066">
          <w:marLeft w:val="389"/>
          <w:marRight w:val="0"/>
          <w:marTop w:val="0"/>
          <w:marBottom w:val="0"/>
          <w:divBdr>
            <w:top w:val="none" w:sz="0" w:space="0" w:color="auto"/>
            <w:left w:val="none" w:sz="0" w:space="0" w:color="auto"/>
            <w:bottom w:val="none" w:sz="0" w:space="0" w:color="auto"/>
            <w:right w:val="none" w:sz="0" w:space="0" w:color="auto"/>
          </w:divBdr>
        </w:div>
        <w:div w:id="689792828">
          <w:marLeft w:val="389"/>
          <w:marRight w:val="0"/>
          <w:marTop w:val="0"/>
          <w:marBottom w:val="0"/>
          <w:divBdr>
            <w:top w:val="none" w:sz="0" w:space="0" w:color="auto"/>
            <w:left w:val="none" w:sz="0" w:space="0" w:color="auto"/>
            <w:bottom w:val="none" w:sz="0" w:space="0" w:color="auto"/>
            <w:right w:val="none" w:sz="0" w:space="0" w:color="auto"/>
          </w:divBdr>
        </w:div>
        <w:div w:id="874661176">
          <w:marLeft w:val="389"/>
          <w:marRight w:val="0"/>
          <w:marTop w:val="0"/>
          <w:marBottom w:val="0"/>
          <w:divBdr>
            <w:top w:val="none" w:sz="0" w:space="0" w:color="auto"/>
            <w:left w:val="none" w:sz="0" w:space="0" w:color="auto"/>
            <w:bottom w:val="none" w:sz="0" w:space="0" w:color="auto"/>
            <w:right w:val="none" w:sz="0" w:space="0" w:color="auto"/>
          </w:divBdr>
        </w:div>
        <w:div w:id="1037049109">
          <w:marLeft w:val="389"/>
          <w:marRight w:val="0"/>
          <w:marTop w:val="0"/>
          <w:marBottom w:val="0"/>
          <w:divBdr>
            <w:top w:val="none" w:sz="0" w:space="0" w:color="auto"/>
            <w:left w:val="none" w:sz="0" w:space="0" w:color="auto"/>
            <w:bottom w:val="none" w:sz="0" w:space="0" w:color="auto"/>
            <w:right w:val="none" w:sz="0" w:space="0" w:color="auto"/>
          </w:divBdr>
        </w:div>
        <w:div w:id="1476530598">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tenders.gov.au/" TargetMode="External"/><Relationship Id="rId18" Type="http://schemas.openxmlformats.org/officeDocument/2006/relationships/hyperlink" Target="https://www.buyict.gov.au/" TargetMode="External"/><Relationship Id="rId26" Type="http://schemas.openxmlformats.org/officeDocument/2006/relationships/hyperlink" Target="https://www.tenders.gov.au/" TargetMode="External"/><Relationship Id="rId3" Type="http://schemas.openxmlformats.org/officeDocument/2006/relationships/styles" Target="styles.xml"/><Relationship Id="rId21" Type="http://schemas.openxmlformats.org/officeDocument/2006/relationships/hyperlink" Target="https://help.tenders.gov.au/getting-started-with-austender/become-a-registered-us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nders.gov.au/" TargetMode="External"/><Relationship Id="rId17" Type="http://schemas.openxmlformats.org/officeDocument/2006/relationships/hyperlink" Target="https://supplynation.org.au/" TargetMode="External"/><Relationship Id="rId25" Type="http://schemas.openxmlformats.org/officeDocument/2006/relationships/hyperlink" Target="https://sellingtogov.finance.gov.au/faq/minimum-requiremen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irectory.gov.au/" TargetMode="External"/><Relationship Id="rId20" Type="http://schemas.openxmlformats.org/officeDocument/2006/relationships/hyperlink" Target="https://www.tenders.gov.au/" TargetMode="External"/><Relationship Id="rId29" Type="http://schemas.openxmlformats.org/officeDocument/2006/relationships/hyperlink" Target="http://sellingtogov.financ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publications/resource-management-guides/supplier-pay-time-or-pay-interest-policy-rmg-417" TargetMode="External"/><Relationship Id="rId24" Type="http://schemas.openxmlformats.org/officeDocument/2006/relationships/hyperlink" Target="https://help.tenders.gov.a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inance.gov.au/government/procurement/whole-australian-government-procurement" TargetMode="External"/><Relationship Id="rId23" Type="http://schemas.openxmlformats.org/officeDocument/2006/relationships/hyperlink" Target="https://tenders.gov.au/" TargetMode="External"/><Relationship Id="rId28" Type="http://schemas.openxmlformats.org/officeDocument/2006/relationships/hyperlink" Target="https://sellingtogov.finance.gov.au/" TargetMode="External"/><Relationship Id="rId10" Type="http://schemas.openxmlformats.org/officeDocument/2006/relationships/hyperlink" Target="http://sellingtogov.finance.gov.au/" TargetMode="External"/><Relationship Id="rId19" Type="http://schemas.openxmlformats.org/officeDocument/2006/relationships/hyperlink" Target="https://www.defence.gov.au/ODIS" TargetMode="External"/><Relationship Id="rId31" Type="http://schemas.openxmlformats.org/officeDocument/2006/relationships/hyperlink" Target="http://sellingtogov.finance.gov.au/contact-us" TargetMode="External"/><Relationship Id="rId4" Type="http://schemas.openxmlformats.org/officeDocument/2006/relationships/settings" Target="settings.xml"/><Relationship Id="rId9" Type="http://schemas.openxmlformats.org/officeDocument/2006/relationships/hyperlink" Target="http://sellingtogov.finance.gov.au/" TargetMode="External"/><Relationship Id="rId14" Type="http://schemas.openxmlformats.org/officeDocument/2006/relationships/hyperlink" Target="http://www.finance.gov.au/commonwealth-procurement-rules" TargetMode="External"/><Relationship Id="rId22" Type="http://schemas.openxmlformats.org/officeDocument/2006/relationships/hyperlink" Target="https://help.tenders.gov.au/" TargetMode="External"/><Relationship Id="rId27" Type="http://schemas.openxmlformats.org/officeDocument/2006/relationships/hyperlink" Target="https://www.finance.gov.au/government/procurement/commonwealth-contracting-suite-ccs" TargetMode="External"/><Relationship Id="rId30" Type="http://schemas.openxmlformats.org/officeDocument/2006/relationships/hyperlink" Target="http://sellingtogov.finance.gov.au/feedback/supplier-introduction" TargetMode="Externa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inance.gov.au/commonwealth-procurement-rules" TargetMode="External"/><Relationship Id="rId1" Type="http://schemas.openxmlformats.org/officeDocument/2006/relationships/hyperlink" Target="https://www.niaa.gov.au/ipp" TargetMode="External"/></Relationships>
</file>

<file path=word/theme/theme1.xml><?xml version="1.0" encoding="utf-8"?>
<a:theme xmlns:a="http://schemas.openxmlformats.org/drawingml/2006/main" name="Finance 1 Blue">
  <a:themeElements>
    <a:clrScheme name="StG">
      <a:dk1>
        <a:sysClr val="windowText" lastClr="000000"/>
      </a:dk1>
      <a:lt1>
        <a:sysClr val="window" lastClr="FFFFFF"/>
      </a:lt1>
      <a:dk2>
        <a:srgbClr val="265659"/>
      </a:dk2>
      <a:lt2>
        <a:srgbClr val="E7E6E6"/>
      </a:lt2>
      <a:accent1>
        <a:srgbClr val="006066"/>
      </a:accent1>
      <a:accent2>
        <a:srgbClr val="278987"/>
      </a:accent2>
      <a:accent3>
        <a:srgbClr val="4EB1A7"/>
      </a:accent3>
      <a:accent4>
        <a:srgbClr val="9CDBD9"/>
      </a:accent4>
      <a:accent5>
        <a:srgbClr val="EAAA00"/>
      </a:accent5>
      <a:accent6>
        <a:srgbClr val="FF9900"/>
      </a:accent6>
      <a:hlink>
        <a:srgbClr val="278987"/>
      </a:hlink>
      <a:folHlink>
        <a:srgbClr val="9CDBD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552B-E986-4490-9182-4360E161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5098</Words>
  <Characters>29266</Characters>
  <Application>Microsoft Office Word</Application>
  <DocSecurity>0</DocSecurity>
  <Lines>636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2024-10-15T00:15:00Z</dcterms:created>
  <dcterms:modified xsi:type="dcterms:W3CDTF">2024-10-15T00:15:00Z</dcterms:modified>
  <cp:category/>
  <cp:contentStatus/>
</cp:coreProperties>
</file>