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BBBCA" w14:textId="77777777" w:rsidR="000C2A48" w:rsidRDefault="000C2A48" w:rsidP="003C554E">
      <w:pPr>
        <w:pStyle w:val="NormalIndented"/>
      </w:pPr>
    </w:p>
    <w:p w14:paraId="5394365F" w14:textId="17D06140" w:rsidR="006C4DD1" w:rsidRDefault="00350F59" w:rsidP="00581851">
      <w:pPr>
        <w:pStyle w:val="Title"/>
      </w:pPr>
      <w:bookmarkStart w:id="0" w:name="_Toc201582885"/>
      <w:r>
        <w:rPr>
          <w:color w:val="auto"/>
        </w:rPr>
        <w:t>Building your best tender response</w:t>
      </w:r>
      <w:bookmarkEnd w:id="0"/>
    </w:p>
    <w:p w14:paraId="77F6B9E5" w14:textId="77777777" w:rsidR="005D3E0C" w:rsidRDefault="005D3E0C" w:rsidP="006C4DD1">
      <w:pPr>
        <w:sectPr w:rsidR="005D3E0C" w:rsidSect="004D5130">
          <w:footerReference w:type="default" r:id="rId13"/>
          <w:type w:val="continuous"/>
          <w:pgSz w:w="11906" w:h="16838" w:code="9"/>
          <w:pgMar w:top="2268" w:right="1418" w:bottom="1418" w:left="1418" w:header="567" w:footer="624" w:gutter="0"/>
          <w:cols w:space="708"/>
          <w:docGrid w:linePitch="360"/>
        </w:sectPr>
      </w:pPr>
    </w:p>
    <w:sdt>
      <w:sdtPr>
        <w:rPr>
          <w:rFonts w:asciiTheme="minorHAnsi" w:eastAsiaTheme="minorHAnsi" w:hAnsiTheme="minorHAnsi" w:cstheme="minorBidi"/>
          <w:color w:val="auto"/>
          <w:sz w:val="22"/>
          <w:szCs w:val="22"/>
          <w:lang w:val="en-AU"/>
        </w:rPr>
        <w:id w:val="-265845745"/>
        <w:docPartObj>
          <w:docPartGallery w:val="Table of Contents"/>
          <w:docPartUnique/>
        </w:docPartObj>
      </w:sdtPr>
      <w:sdtEndPr>
        <w:rPr>
          <w:b/>
          <w:bCs/>
          <w:noProof/>
        </w:rPr>
      </w:sdtEndPr>
      <w:sdtContent>
        <w:p w14:paraId="6BD3D300" w14:textId="091EA7B4" w:rsidR="00B67F4B" w:rsidRDefault="00B67F4B">
          <w:pPr>
            <w:pStyle w:val="TOCHeading"/>
          </w:pPr>
          <w:r>
            <w:t>Table of Contents</w:t>
          </w:r>
        </w:p>
        <w:p w14:paraId="011DC3BE" w14:textId="28C90932" w:rsidR="00B67F4B" w:rsidRDefault="00B67F4B">
          <w:pPr>
            <w:pStyle w:val="TOC1"/>
            <w:rPr>
              <w:rFonts w:eastAsiaTheme="minorEastAsia"/>
              <w:b w:val="0"/>
              <w:noProof/>
              <w:kern w:val="2"/>
              <w:sz w:val="24"/>
              <w:szCs w:val="24"/>
              <w:lang w:eastAsia="en-AU"/>
              <w14:ligatures w14:val="standardContextual"/>
            </w:rPr>
          </w:pPr>
          <w:r>
            <w:fldChar w:fldCharType="begin"/>
          </w:r>
          <w:r>
            <w:instrText xml:space="preserve"> TOC \o "1-3" \h \z \u </w:instrText>
          </w:r>
          <w:r>
            <w:fldChar w:fldCharType="separate"/>
          </w:r>
          <w:hyperlink w:anchor="_Toc201582887" w:history="1">
            <w:r w:rsidRPr="002F5A61">
              <w:rPr>
                <w:rStyle w:val="Hyperlink"/>
                <w:noProof/>
              </w:rPr>
              <w:t>Purpose</w:t>
            </w:r>
            <w:r>
              <w:rPr>
                <w:noProof/>
                <w:webHidden/>
              </w:rPr>
              <w:tab/>
            </w:r>
            <w:r>
              <w:rPr>
                <w:noProof/>
                <w:webHidden/>
              </w:rPr>
              <w:fldChar w:fldCharType="begin"/>
            </w:r>
            <w:r>
              <w:rPr>
                <w:noProof/>
                <w:webHidden/>
              </w:rPr>
              <w:instrText xml:space="preserve"> PAGEREF _Toc201582887 \h </w:instrText>
            </w:r>
            <w:r>
              <w:rPr>
                <w:noProof/>
                <w:webHidden/>
              </w:rPr>
            </w:r>
            <w:r>
              <w:rPr>
                <w:noProof/>
                <w:webHidden/>
              </w:rPr>
              <w:fldChar w:fldCharType="separate"/>
            </w:r>
            <w:r>
              <w:rPr>
                <w:noProof/>
                <w:webHidden/>
              </w:rPr>
              <w:t>3</w:t>
            </w:r>
            <w:r>
              <w:rPr>
                <w:noProof/>
                <w:webHidden/>
              </w:rPr>
              <w:fldChar w:fldCharType="end"/>
            </w:r>
          </w:hyperlink>
        </w:p>
        <w:p w14:paraId="6DEB054C" w14:textId="6E5344BF" w:rsidR="00B67F4B" w:rsidRDefault="00B67F4B">
          <w:pPr>
            <w:pStyle w:val="TOC1"/>
            <w:rPr>
              <w:rFonts w:eastAsiaTheme="minorEastAsia"/>
              <w:b w:val="0"/>
              <w:noProof/>
              <w:kern w:val="2"/>
              <w:sz w:val="24"/>
              <w:szCs w:val="24"/>
              <w:lang w:eastAsia="en-AU"/>
              <w14:ligatures w14:val="standardContextual"/>
            </w:rPr>
          </w:pPr>
          <w:hyperlink w:anchor="_Toc201582888" w:history="1">
            <w:r w:rsidRPr="002F5A61">
              <w:rPr>
                <w:rStyle w:val="Hyperlink"/>
                <w:noProof/>
              </w:rPr>
              <w:t>What does the Australian Government buy?</w:t>
            </w:r>
            <w:r>
              <w:rPr>
                <w:noProof/>
                <w:webHidden/>
              </w:rPr>
              <w:tab/>
            </w:r>
            <w:r>
              <w:rPr>
                <w:noProof/>
                <w:webHidden/>
              </w:rPr>
              <w:fldChar w:fldCharType="begin"/>
            </w:r>
            <w:r>
              <w:rPr>
                <w:noProof/>
                <w:webHidden/>
              </w:rPr>
              <w:instrText xml:space="preserve"> PAGEREF _Toc201582888 \h </w:instrText>
            </w:r>
            <w:r>
              <w:rPr>
                <w:noProof/>
                <w:webHidden/>
              </w:rPr>
            </w:r>
            <w:r>
              <w:rPr>
                <w:noProof/>
                <w:webHidden/>
              </w:rPr>
              <w:fldChar w:fldCharType="separate"/>
            </w:r>
            <w:r>
              <w:rPr>
                <w:noProof/>
                <w:webHidden/>
              </w:rPr>
              <w:t>4</w:t>
            </w:r>
            <w:r>
              <w:rPr>
                <w:noProof/>
                <w:webHidden/>
              </w:rPr>
              <w:fldChar w:fldCharType="end"/>
            </w:r>
          </w:hyperlink>
        </w:p>
        <w:p w14:paraId="6C371411" w14:textId="31FB8AF7" w:rsidR="00B67F4B" w:rsidRPr="00A27FEC" w:rsidRDefault="00B67F4B" w:rsidP="00A27FEC">
          <w:pPr>
            <w:pStyle w:val="TOC2"/>
            <w:rPr>
              <w:rFonts w:eastAsiaTheme="minorEastAsia"/>
              <w:kern w:val="2"/>
              <w:lang w:eastAsia="en-AU"/>
              <w14:ligatures w14:val="standardContextual"/>
            </w:rPr>
          </w:pPr>
          <w:hyperlink w:anchor="_Toc201582889" w:history="1">
            <w:r w:rsidRPr="00A27FEC">
              <w:rPr>
                <w:rStyle w:val="Hyperlink"/>
              </w:rPr>
              <w:t>Commonwealth Procurement Rules</w:t>
            </w:r>
            <w:r w:rsidRPr="00A27FEC">
              <w:rPr>
                <w:webHidden/>
              </w:rPr>
              <w:tab/>
            </w:r>
            <w:r w:rsidRPr="00A27FEC">
              <w:rPr>
                <w:webHidden/>
              </w:rPr>
              <w:fldChar w:fldCharType="begin"/>
            </w:r>
            <w:r w:rsidRPr="00A27FEC">
              <w:rPr>
                <w:webHidden/>
              </w:rPr>
              <w:instrText xml:space="preserve"> PAGEREF _Toc201582889 \h </w:instrText>
            </w:r>
            <w:r w:rsidRPr="00A27FEC">
              <w:rPr>
                <w:webHidden/>
              </w:rPr>
            </w:r>
            <w:r w:rsidRPr="00A27FEC">
              <w:rPr>
                <w:webHidden/>
              </w:rPr>
              <w:fldChar w:fldCharType="separate"/>
            </w:r>
            <w:r w:rsidRPr="00A27FEC">
              <w:rPr>
                <w:webHidden/>
              </w:rPr>
              <w:t>5</w:t>
            </w:r>
            <w:r w:rsidRPr="00A27FEC">
              <w:rPr>
                <w:webHidden/>
              </w:rPr>
              <w:fldChar w:fldCharType="end"/>
            </w:r>
          </w:hyperlink>
        </w:p>
        <w:p w14:paraId="1809C54B" w14:textId="5E9C7040" w:rsidR="00B67F4B" w:rsidRDefault="00B67F4B">
          <w:pPr>
            <w:pStyle w:val="TOC1"/>
            <w:rPr>
              <w:rFonts w:eastAsiaTheme="minorEastAsia"/>
              <w:b w:val="0"/>
              <w:noProof/>
              <w:kern w:val="2"/>
              <w:sz w:val="24"/>
              <w:szCs w:val="24"/>
              <w:lang w:eastAsia="en-AU"/>
              <w14:ligatures w14:val="standardContextual"/>
            </w:rPr>
          </w:pPr>
          <w:hyperlink w:anchor="_Toc201582890" w:history="1">
            <w:r w:rsidRPr="002F5A61">
              <w:rPr>
                <w:rStyle w:val="Hyperlink"/>
                <w:noProof/>
              </w:rPr>
              <w:t>Procurement methods</w:t>
            </w:r>
            <w:r>
              <w:rPr>
                <w:noProof/>
                <w:webHidden/>
              </w:rPr>
              <w:tab/>
            </w:r>
            <w:r>
              <w:rPr>
                <w:noProof/>
                <w:webHidden/>
              </w:rPr>
              <w:fldChar w:fldCharType="begin"/>
            </w:r>
            <w:r>
              <w:rPr>
                <w:noProof/>
                <w:webHidden/>
              </w:rPr>
              <w:instrText xml:space="preserve"> PAGEREF _Toc201582890 \h </w:instrText>
            </w:r>
            <w:r>
              <w:rPr>
                <w:noProof/>
                <w:webHidden/>
              </w:rPr>
            </w:r>
            <w:r>
              <w:rPr>
                <w:noProof/>
                <w:webHidden/>
              </w:rPr>
              <w:fldChar w:fldCharType="separate"/>
            </w:r>
            <w:r>
              <w:rPr>
                <w:noProof/>
                <w:webHidden/>
              </w:rPr>
              <w:t>6</w:t>
            </w:r>
            <w:r>
              <w:rPr>
                <w:noProof/>
                <w:webHidden/>
              </w:rPr>
              <w:fldChar w:fldCharType="end"/>
            </w:r>
          </w:hyperlink>
        </w:p>
        <w:p w14:paraId="49E27E20" w14:textId="0EA424A5" w:rsidR="00B67F4B" w:rsidRDefault="00B67F4B">
          <w:pPr>
            <w:pStyle w:val="TOC1"/>
            <w:rPr>
              <w:rFonts w:eastAsiaTheme="minorEastAsia"/>
              <w:b w:val="0"/>
              <w:noProof/>
              <w:kern w:val="2"/>
              <w:sz w:val="24"/>
              <w:szCs w:val="24"/>
              <w:lang w:eastAsia="en-AU"/>
              <w14:ligatures w14:val="standardContextual"/>
            </w:rPr>
          </w:pPr>
          <w:hyperlink w:anchor="_Toc201582891" w:history="1">
            <w:r w:rsidRPr="002F5A61">
              <w:rPr>
                <w:rStyle w:val="Hyperlink"/>
                <w:noProof/>
              </w:rPr>
              <w:t>Standing offer (panel)</w:t>
            </w:r>
            <w:r>
              <w:rPr>
                <w:noProof/>
                <w:webHidden/>
              </w:rPr>
              <w:tab/>
            </w:r>
            <w:r>
              <w:rPr>
                <w:noProof/>
                <w:webHidden/>
              </w:rPr>
              <w:fldChar w:fldCharType="begin"/>
            </w:r>
            <w:r>
              <w:rPr>
                <w:noProof/>
                <w:webHidden/>
              </w:rPr>
              <w:instrText xml:space="preserve"> PAGEREF _Toc201582891 \h </w:instrText>
            </w:r>
            <w:r>
              <w:rPr>
                <w:noProof/>
                <w:webHidden/>
              </w:rPr>
            </w:r>
            <w:r>
              <w:rPr>
                <w:noProof/>
                <w:webHidden/>
              </w:rPr>
              <w:fldChar w:fldCharType="separate"/>
            </w:r>
            <w:r>
              <w:rPr>
                <w:noProof/>
                <w:webHidden/>
              </w:rPr>
              <w:t>7</w:t>
            </w:r>
            <w:r>
              <w:rPr>
                <w:noProof/>
                <w:webHidden/>
              </w:rPr>
              <w:fldChar w:fldCharType="end"/>
            </w:r>
          </w:hyperlink>
        </w:p>
        <w:p w14:paraId="110D6E17" w14:textId="4C9D6C5B" w:rsidR="00B67F4B" w:rsidRDefault="00B67F4B">
          <w:pPr>
            <w:pStyle w:val="TOC1"/>
            <w:rPr>
              <w:rFonts w:eastAsiaTheme="minorEastAsia"/>
              <w:b w:val="0"/>
              <w:noProof/>
              <w:kern w:val="2"/>
              <w:sz w:val="24"/>
              <w:szCs w:val="24"/>
              <w:lang w:eastAsia="en-AU"/>
              <w14:ligatures w14:val="standardContextual"/>
            </w:rPr>
          </w:pPr>
          <w:hyperlink w:anchor="_Toc201582892" w:history="1">
            <w:r w:rsidRPr="002F5A61">
              <w:rPr>
                <w:rStyle w:val="Hyperlink"/>
                <w:noProof/>
              </w:rPr>
              <w:t>Whole of Australian Government Arrangements</w:t>
            </w:r>
            <w:r>
              <w:rPr>
                <w:noProof/>
                <w:webHidden/>
              </w:rPr>
              <w:tab/>
            </w:r>
            <w:r>
              <w:rPr>
                <w:noProof/>
                <w:webHidden/>
              </w:rPr>
              <w:fldChar w:fldCharType="begin"/>
            </w:r>
            <w:r>
              <w:rPr>
                <w:noProof/>
                <w:webHidden/>
              </w:rPr>
              <w:instrText xml:space="preserve"> PAGEREF _Toc201582892 \h </w:instrText>
            </w:r>
            <w:r>
              <w:rPr>
                <w:noProof/>
                <w:webHidden/>
              </w:rPr>
            </w:r>
            <w:r>
              <w:rPr>
                <w:noProof/>
                <w:webHidden/>
              </w:rPr>
              <w:fldChar w:fldCharType="separate"/>
            </w:r>
            <w:r>
              <w:rPr>
                <w:noProof/>
                <w:webHidden/>
              </w:rPr>
              <w:t>7</w:t>
            </w:r>
            <w:r>
              <w:rPr>
                <w:noProof/>
                <w:webHidden/>
              </w:rPr>
              <w:fldChar w:fldCharType="end"/>
            </w:r>
          </w:hyperlink>
        </w:p>
        <w:p w14:paraId="4B452160" w14:textId="1386BBC5" w:rsidR="00B67F4B" w:rsidRDefault="00B67F4B">
          <w:pPr>
            <w:pStyle w:val="TOC1"/>
            <w:rPr>
              <w:rFonts w:eastAsiaTheme="minorEastAsia"/>
              <w:b w:val="0"/>
              <w:noProof/>
              <w:kern w:val="2"/>
              <w:sz w:val="24"/>
              <w:szCs w:val="24"/>
              <w:lang w:eastAsia="en-AU"/>
              <w14:ligatures w14:val="standardContextual"/>
            </w:rPr>
          </w:pPr>
          <w:hyperlink w:anchor="_Toc201582893" w:history="1">
            <w:r w:rsidRPr="002F5A61">
              <w:rPr>
                <w:rStyle w:val="Hyperlink"/>
                <w:noProof/>
              </w:rPr>
              <w:t>Where to find Procurement Opportunities</w:t>
            </w:r>
            <w:r>
              <w:rPr>
                <w:noProof/>
                <w:webHidden/>
              </w:rPr>
              <w:tab/>
            </w:r>
            <w:r>
              <w:rPr>
                <w:noProof/>
                <w:webHidden/>
              </w:rPr>
              <w:fldChar w:fldCharType="begin"/>
            </w:r>
            <w:r>
              <w:rPr>
                <w:noProof/>
                <w:webHidden/>
              </w:rPr>
              <w:instrText xml:space="preserve"> PAGEREF _Toc201582893 \h </w:instrText>
            </w:r>
            <w:r>
              <w:rPr>
                <w:noProof/>
                <w:webHidden/>
              </w:rPr>
            </w:r>
            <w:r>
              <w:rPr>
                <w:noProof/>
                <w:webHidden/>
              </w:rPr>
              <w:fldChar w:fldCharType="separate"/>
            </w:r>
            <w:r>
              <w:rPr>
                <w:noProof/>
                <w:webHidden/>
              </w:rPr>
              <w:t>8</w:t>
            </w:r>
            <w:r>
              <w:rPr>
                <w:noProof/>
                <w:webHidden/>
              </w:rPr>
              <w:fldChar w:fldCharType="end"/>
            </w:r>
          </w:hyperlink>
        </w:p>
        <w:p w14:paraId="361E427B" w14:textId="27ED74F3" w:rsidR="00B67F4B" w:rsidRDefault="00B67F4B">
          <w:pPr>
            <w:pStyle w:val="TOC1"/>
            <w:rPr>
              <w:rFonts w:eastAsiaTheme="minorEastAsia"/>
              <w:b w:val="0"/>
              <w:noProof/>
              <w:kern w:val="2"/>
              <w:sz w:val="24"/>
              <w:szCs w:val="24"/>
              <w:lang w:eastAsia="en-AU"/>
              <w14:ligatures w14:val="standardContextual"/>
            </w:rPr>
          </w:pPr>
          <w:hyperlink w:anchor="_Toc201582894" w:history="1">
            <w:r w:rsidRPr="002F5A61">
              <w:rPr>
                <w:rStyle w:val="Hyperlink"/>
                <w:noProof/>
              </w:rPr>
              <w:t>Approach to Market (ATM)</w:t>
            </w:r>
            <w:r>
              <w:rPr>
                <w:noProof/>
                <w:webHidden/>
              </w:rPr>
              <w:tab/>
            </w:r>
            <w:r>
              <w:rPr>
                <w:noProof/>
                <w:webHidden/>
              </w:rPr>
              <w:fldChar w:fldCharType="begin"/>
            </w:r>
            <w:r>
              <w:rPr>
                <w:noProof/>
                <w:webHidden/>
              </w:rPr>
              <w:instrText xml:space="preserve"> PAGEREF _Toc201582894 \h </w:instrText>
            </w:r>
            <w:r>
              <w:rPr>
                <w:noProof/>
                <w:webHidden/>
              </w:rPr>
            </w:r>
            <w:r>
              <w:rPr>
                <w:noProof/>
                <w:webHidden/>
              </w:rPr>
              <w:fldChar w:fldCharType="separate"/>
            </w:r>
            <w:r>
              <w:rPr>
                <w:noProof/>
                <w:webHidden/>
              </w:rPr>
              <w:t>9</w:t>
            </w:r>
            <w:r>
              <w:rPr>
                <w:noProof/>
                <w:webHidden/>
              </w:rPr>
              <w:fldChar w:fldCharType="end"/>
            </w:r>
          </w:hyperlink>
        </w:p>
        <w:p w14:paraId="41E94405" w14:textId="7B500F8F" w:rsidR="00B67F4B" w:rsidRDefault="00B67F4B">
          <w:pPr>
            <w:pStyle w:val="TOC1"/>
            <w:rPr>
              <w:rFonts w:eastAsiaTheme="minorEastAsia"/>
              <w:b w:val="0"/>
              <w:noProof/>
              <w:kern w:val="2"/>
              <w:sz w:val="24"/>
              <w:szCs w:val="24"/>
              <w:lang w:eastAsia="en-AU"/>
              <w14:ligatures w14:val="standardContextual"/>
            </w:rPr>
          </w:pPr>
          <w:hyperlink w:anchor="_Toc201582895" w:history="1">
            <w:r w:rsidRPr="002F5A61">
              <w:rPr>
                <w:rStyle w:val="Hyperlink"/>
                <w:noProof/>
              </w:rPr>
              <w:t>Elements of an ATM</w:t>
            </w:r>
            <w:r>
              <w:rPr>
                <w:noProof/>
                <w:webHidden/>
              </w:rPr>
              <w:tab/>
            </w:r>
            <w:r>
              <w:rPr>
                <w:noProof/>
                <w:webHidden/>
              </w:rPr>
              <w:fldChar w:fldCharType="begin"/>
            </w:r>
            <w:r>
              <w:rPr>
                <w:noProof/>
                <w:webHidden/>
              </w:rPr>
              <w:instrText xml:space="preserve"> PAGEREF _Toc201582895 \h </w:instrText>
            </w:r>
            <w:r>
              <w:rPr>
                <w:noProof/>
                <w:webHidden/>
              </w:rPr>
            </w:r>
            <w:r>
              <w:rPr>
                <w:noProof/>
                <w:webHidden/>
              </w:rPr>
              <w:fldChar w:fldCharType="separate"/>
            </w:r>
            <w:r>
              <w:rPr>
                <w:noProof/>
                <w:webHidden/>
              </w:rPr>
              <w:t>9</w:t>
            </w:r>
            <w:r>
              <w:rPr>
                <w:noProof/>
                <w:webHidden/>
              </w:rPr>
              <w:fldChar w:fldCharType="end"/>
            </w:r>
          </w:hyperlink>
        </w:p>
        <w:p w14:paraId="2CE35DC4" w14:textId="197A57CE" w:rsidR="00B67F4B" w:rsidRDefault="00B67F4B">
          <w:pPr>
            <w:pStyle w:val="TOC1"/>
            <w:rPr>
              <w:rFonts w:eastAsiaTheme="minorEastAsia"/>
              <w:b w:val="0"/>
              <w:noProof/>
              <w:kern w:val="2"/>
              <w:sz w:val="24"/>
              <w:szCs w:val="24"/>
              <w:lang w:eastAsia="en-AU"/>
              <w14:ligatures w14:val="standardContextual"/>
            </w:rPr>
          </w:pPr>
          <w:hyperlink w:anchor="_Toc201582896" w:history="1">
            <w:r w:rsidRPr="002F5A61">
              <w:rPr>
                <w:rStyle w:val="Hyperlink"/>
                <w:noProof/>
              </w:rPr>
              <w:t>Preparation</w:t>
            </w:r>
            <w:r>
              <w:rPr>
                <w:noProof/>
                <w:webHidden/>
              </w:rPr>
              <w:tab/>
            </w:r>
            <w:r>
              <w:rPr>
                <w:noProof/>
                <w:webHidden/>
              </w:rPr>
              <w:fldChar w:fldCharType="begin"/>
            </w:r>
            <w:r>
              <w:rPr>
                <w:noProof/>
                <w:webHidden/>
              </w:rPr>
              <w:instrText xml:space="preserve"> PAGEREF _Toc201582896 \h </w:instrText>
            </w:r>
            <w:r>
              <w:rPr>
                <w:noProof/>
                <w:webHidden/>
              </w:rPr>
            </w:r>
            <w:r>
              <w:rPr>
                <w:noProof/>
                <w:webHidden/>
              </w:rPr>
              <w:fldChar w:fldCharType="separate"/>
            </w:r>
            <w:r>
              <w:rPr>
                <w:noProof/>
                <w:webHidden/>
              </w:rPr>
              <w:t>10</w:t>
            </w:r>
            <w:r>
              <w:rPr>
                <w:noProof/>
                <w:webHidden/>
              </w:rPr>
              <w:fldChar w:fldCharType="end"/>
            </w:r>
          </w:hyperlink>
        </w:p>
        <w:p w14:paraId="2990FBE6" w14:textId="51ABD5DA" w:rsidR="00B67F4B" w:rsidRDefault="00B67F4B">
          <w:pPr>
            <w:pStyle w:val="TOC1"/>
            <w:rPr>
              <w:rFonts w:eastAsiaTheme="minorEastAsia"/>
              <w:b w:val="0"/>
              <w:noProof/>
              <w:kern w:val="2"/>
              <w:sz w:val="24"/>
              <w:szCs w:val="24"/>
              <w:lang w:eastAsia="en-AU"/>
              <w14:ligatures w14:val="standardContextual"/>
            </w:rPr>
          </w:pPr>
          <w:hyperlink w:anchor="_Toc201582897" w:history="1">
            <w:r w:rsidRPr="002F5A61">
              <w:rPr>
                <w:rStyle w:val="Hyperlink"/>
                <w:noProof/>
              </w:rPr>
              <w:t>Before you respond to an ATM</w:t>
            </w:r>
            <w:r>
              <w:rPr>
                <w:noProof/>
                <w:webHidden/>
              </w:rPr>
              <w:tab/>
            </w:r>
            <w:r>
              <w:rPr>
                <w:noProof/>
                <w:webHidden/>
              </w:rPr>
              <w:fldChar w:fldCharType="begin"/>
            </w:r>
            <w:r>
              <w:rPr>
                <w:noProof/>
                <w:webHidden/>
              </w:rPr>
              <w:instrText xml:space="preserve"> PAGEREF _Toc201582897 \h </w:instrText>
            </w:r>
            <w:r>
              <w:rPr>
                <w:noProof/>
                <w:webHidden/>
              </w:rPr>
            </w:r>
            <w:r>
              <w:rPr>
                <w:noProof/>
                <w:webHidden/>
              </w:rPr>
              <w:fldChar w:fldCharType="separate"/>
            </w:r>
            <w:r>
              <w:rPr>
                <w:noProof/>
                <w:webHidden/>
              </w:rPr>
              <w:t>11</w:t>
            </w:r>
            <w:r>
              <w:rPr>
                <w:noProof/>
                <w:webHidden/>
              </w:rPr>
              <w:fldChar w:fldCharType="end"/>
            </w:r>
          </w:hyperlink>
        </w:p>
        <w:p w14:paraId="3A1C7C46" w14:textId="1DCD5BB0" w:rsidR="00B67F4B" w:rsidRDefault="00B67F4B">
          <w:pPr>
            <w:pStyle w:val="TOC1"/>
            <w:rPr>
              <w:rFonts w:eastAsiaTheme="minorEastAsia"/>
              <w:b w:val="0"/>
              <w:noProof/>
              <w:kern w:val="2"/>
              <w:sz w:val="24"/>
              <w:szCs w:val="24"/>
              <w:lang w:eastAsia="en-AU"/>
              <w14:ligatures w14:val="standardContextual"/>
            </w:rPr>
          </w:pPr>
          <w:hyperlink w:anchor="_Toc201582898" w:history="1">
            <w:r w:rsidRPr="002F5A61">
              <w:rPr>
                <w:rStyle w:val="Hyperlink"/>
                <w:noProof/>
              </w:rPr>
              <w:t>Review the ATM</w:t>
            </w:r>
            <w:r>
              <w:rPr>
                <w:noProof/>
                <w:webHidden/>
              </w:rPr>
              <w:tab/>
            </w:r>
            <w:r>
              <w:rPr>
                <w:noProof/>
                <w:webHidden/>
              </w:rPr>
              <w:fldChar w:fldCharType="begin"/>
            </w:r>
            <w:r>
              <w:rPr>
                <w:noProof/>
                <w:webHidden/>
              </w:rPr>
              <w:instrText xml:space="preserve"> PAGEREF _Toc201582898 \h </w:instrText>
            </w:r>
            <w:r>
              <w:rPr>
                <w:noProof/>
                <w:webHidden/>
              </w:rPr>
            </w:r>
            <w:r>
              <w:rPr>
                <w:noProof/>
                <w:webHidden/>
              </w:rPr>
              <w:fldChar w:fldCharType="separate"/>
            </w:r>
            <w:r>
              <w:rPr>
                <w:noProof/>
                <w:webHidden/>
              </w:rPr>
              <w:t>12</w:t>
            </w:r>
            <w:r>
              <w:rPr>
                <w:noProof/>
                <w:webHidden/>
              </w:rPr>
              <w:fldChar w:fldCharType="end"/>
            </w:r>
          </w:hyperlink>
        </w:p>
        <w:p w14:paraId="71D85B79" w14:textId="3D6EE6BA" w:rsidR="00B67F4B" w:rsidRDefault="00B67F4B">
          <w:pPr>
            <w:pStyle w:val="TOC1"/>
            <w:rPr>
              <w:rFonts w:eastAsiaTheme="minorEastAsia"/>
              <w:b w:val="0"/>
              <w:noProof/>
              <w:kern w:val="2"/>
              <w:sz w:val="24"/>
              <w:szCs w:val="24"/>
              <w:lang w:eastAsia="en-AU"/>
              <w14:ligatures w14:val="standardContextual"/>
            </w:rPr>
          </w:pPr>
          <w:hyperlink w:anchor="_Toc201582899" w:history="1">
            <w:r w:rsidRPr="002F5A61">
              <w:rPr>
                <w:rStyle w:val="Hyperlink"/>
                <w:noProof/>
              </w:rPr>
              <w:t>Procurement Connected Policies</w:t>
            </w:r>
            <w:r>
              <w:rPr>
                <w:noProof/>
                <w:webHidden/>
              </w:rPr>
              <w:tab/>
            </w:r>
            <w:r>
              <w:rPr>
                <w:noProof/>
                <w:webHidden/>
              </w:rPr>
              <w:fldChar w:fldCharType="begin"/>
            </w:r>
            <w:r>
              <w:rPr>
                <w:noProof/>
                <w:webHidden/>
              </w:rPr>
              <w:instrText xml:space="preserve"> PAGEREF _Toc201582899 \h </w:instrText>
            </w:r>
            <w:r>
              <w:rPr>
                <w:noProof/>
                <w:webHidden/>
              </w:rPr>
            </w:r>
            <w:r>
              <w:rPr>
                <w:noProof/>
                <w:webHidden/>
              </w:rPr>
              <w:fldChar w:fldCharType="separate"/>
            </w:r>
            <w:r>
              <w:rPr>
                <w:noProof/>
                <w:webHidden/>
              </w:rPr>
              <w:t>13</w:t>
            </w:r>
            <w:r>
              <w:rPr>
                <w:noProof/>
                <w:webHidden/>
              </w:rPr>
              <w:fldChar w:fldCharType="end"/>
            </w:r>
          </w:hyperlink>
        </w:p>
        <w:p w14:paraId="143A2D31" w14:textId="0F3E6363" w:rsidR="00B67F4B" w:rsidRDefault="00B67F4B">
          <w:pPr>
            <w:pStyle w:val="TOC1"/>
            <w:rPr>
              <w:rFonts w:eastAsiaTheme="minorEastAsia"/>
              <w:b w:val="0"/>
              <w:noProof/>
              <w:kern w:val="2"/>
              <w:sz w:val="24"/>
              <w:szCs w:val="24"/>
              <w:lang w:eastAsia="en-AU"/>
              <w14:ligatures w14:val="standardContextual"/>
            </w:rPr>
          </w:pPr>
          <w:hyperlink w:anchor="_Toc201582900" w:history="1">
            <w:r w:rsidRPr="002F5A61">
              <w:rPr>
                <w:rStyle w:val="Hyperlink"/>
                <w:noProof/>
              </w:rPr>
              <w:t>Questions</w:t>
            </w:r>
            <w:r>
              <w:rPr>
                <w:noProof/>
                <w:webHidden/>
              </w:rPr>
              <w:tab/>
            </w:r>
            <w:r>
              <w:rPr>
                <w:noProof/>
                <w:webHidden/>
              </w:rPr>
              <w:fldChar w:fldCharType="begin"/>
            </w:r>
            <w:r>
              <w:rPr>
                <w:noProof/>
                <w:webHidden/>
              </w:rPr>
              <w:instrText xml:space="preserve"> PAGEREF _Toc201582900 \h </w:instrText>
            </w:r>
            <w:r>
              <w:rPr>
                <w:noProof/>
                <w:webHidden/>
              </w:rPr>
            </w:r>
            <w:r>
              <w:rPr>
                <w:noProof/>
                <w:webHidden/>
              </w:rPr>
              <w:fldChar w:fldCharType="separate"/>
            </w:r>
            <w:r>
              <w:rPr>
                <w:noProof/>
                <w:webHidden/>
              </w:rPr>
              <w:t>14</w:t>
            </w:r>
            <w:r>
              <w:rPr>
                <w:noProof/>
                <w:webHidden/>
              </w:rPr>
              <w:fldChar w:fldCharType="end"/>
            </w:r>
          </w:hyperlink>
        </w:p>
        <w:p w14:paraId="16E46A93" w14:textId="6B714DF0" w:rsidR="00B67F4B" w:rsidRDefault="00B67F4B">
          <w:pPr>
            <w:pStyle w:val="TOC1"/>
            <w:rPr>
              <w:rFonts w:eastAsiaTheme="minorEastAsia"/>
              <w:b w:val="0"/>
              <w:noProof/>
              <w:kern w:val="2"/>
              <w:sz w:val="24"/>
              <w:szCs w:val="24"/>
              <w:lang w:eastAsia="en-AU"/>
              <w14:ligatures w14:val="standardContextual"/>
            </w:rPr>
          </w:pPr>
          <w:hyperlink w:anchor="_Toc201582901" w:history="1">
            <w:r w:rsidRPr="002F5A61">
              <w:rPr>
                <w:rStyle w:val="Hyperlink"/>
                <w:noProof/>
              </w:rPr>
              <w:t>Briefing sessions</w:t>
            </w:r>
            <w:r>
              <w:rPr>
                <w:noProof/>
                <w:webHidden/>
              </w:rPr>
              <w:tab/>
            </w:r>
            <w:r>
              <w:rPr>
                <w:noProof/>
                <w:webHidden/>
              </w:rPr>
              <w:fldChar w:fldCharType="begin"/>
            </w:r>
            <w:r>
              <w:rPr>
                <w:noProof/>
                <w:webHidden/>
              </w:rPr>
              <w:instrText xml:space="preserve"> PAGEREF _Toc201582901 \h </w:instrText>
            </w:r>
            <w:r>
              <w:rPr>
                <w:noProof/>
                <w:webHidden/>
              </w:rPr>
            </w:r>
            <w:r>
              <w:rPr>
                <w:noProof/>
                <w:webHidden/>
              </w:rPr>
              <w:fldChar w:fldCharType="separate"/>
            </w:r>
            <w:r>
              <w:rPr>
                <w:noProof/>
                <w:webHidden/>
              </w:rPr>
              <w:t>15</w:t>
            </w:r>
            <w:r>
              <w:rPr>
                <w:noProof/>
                <w:webHidden/>
              </w:rPr>
              <w:fldChar w:fldCharType="end"/>
            </w:r>
          </w:hyperlink>
        </w:p>
        <w:p w14:paraId="53D93E9A" w14:textId="07CDB4E6" w:rsidR="00B67F4B" w:rsidRDefault="00B67F4B">
          <w:pPr>
            <w:pStyle w:val="TOC1"/>
            <w:rPr>
              <w:rFonts w:eastAsiaTheme="minorEastAsia"/>
              <w:b w:val="0"/>
              <w:noProof/>
              <w:kern w:val="2"/>
              <w:sz w:val="24"/>
              <w:szCs w:val="24"/>
              <w:lang w:eastAsia="en-AU"/>
              <w14:ligatures w14:val="standardContextual"/>
            </w:rPr>
          </w:pPr>
          <w:hyperlink w:anchor="_Toc201582902" w:history="1">
            <w:r w:rsidRPr="002F5A61">
              <w:rPr>
                <w:rStyle w:val="Hyperlink"/>
                <w:noProof/>
              </w:rPr>
              <w:t>Response format</w:t>
            </w:r>
            <w:r>
              <w:rPr>
                <w:noProof/>
                <w:webHidden/>
              </w:rPr>
              <w:tab/>
            </w:r>
            <w:r>
              <w:rPr>
                <w:noProof/>
                <w:webHidden/>
              </w:rPr>
              <w:fldChar w:fldCharType="begin"/>
            </w:r>
            <w:r>
              <w:rPr>
                <w:noProof/>
                <w:webHidden/>
              </w:rPr>
              <w:instrText xml:space="preserve"> PAGEREF _Toc201582902 \h </w:instrText>
            </w:r>
            <w:r>
              <w:rPr>
                <w:noProof/>
                <w:webHidden/>
              </w:rPr>
            </w:r>
            <w:r>
              <w:rPr>
                <w:noProof/>
                <w:webHidden/>
              </w:rPr>
              <w:fldChar w:fldCharType="separate"/>
            </w:r>
            <w:r>
              <w:rPr>
                <w:noProof/>
                <w:webHidden/>
              </w:rPr>
              <w:t>15</w:t>
            </w:r>
            <w:r>
              <w:rPr>
                <w:noProof/>
                <w:webHidden/>
              </w:rPr>
              <w:fldChar w:fldCharType="end"/>
            </w:r>
          </w:hyperlink>
        </w:p>
        <w:p w14:paraId="5043726F" w14:textId="0F5BB0D6" w:rsidR="00B67F4B" w:rsidRDefault="00B67F4B">
          <w:pPr>
            <w:pStyle w:val="TOC1"/>
            <w:rPr>
              <w:rFonts w:eastAsiaTheme="minorEastAsia"/>
              <w:b w:val="0"/>
              <w:noProof/>
              <w:kern w:val="2"/>
              <w:sz w:val="24"/>
              <w:szCs w:val="24"/>
              <w:lang w:eastAsia="en-AU"/>
              <w14:ligatures w14:val="standardContextual"/>
            </w:rPr>
          </w:pPr>
          <w:hyperlink w:anchor="_Toc201582903" w:history="1">
            <w:r w:rsidRPr="002F5A61">
              <w:rPr>
                <w:rStyle w:val="Hyperlink"/>
                <w:noProof/>
              </w:rPr>
              <w:t>Statement of requirement</w:t>
            </w:r>
            <w:r>
              <w:rPr>
                <w:noProof/>
                <w:webHidden/>
              </w:rPr>
              <w:tab/>
            </w:r>
            <w:r>
              <w:rPr>
                <w:noProof/>
                <w:webHidden/>
              </w:rPr>
              <w:fldChar w:fldCharType="begin"/>
            </w:r>
            <w:r>
              <w:rPr>
                <w:noProof/>
                <w:webHidden/>
              </w:rPr>
              <w:instrText xml:space="preserve"> PAGEREF _Toc201582903 \h </w:instrText>
            </w:r>
            <w:r>
              <w:rPr>
                <w:noProof/>
                <w:webHidden/>
              </w:rPr>
            </w:r>
            <w:r>
              <w:rPr>
                <w:noProof/>
                <w:webHidden/>
              </w:rPr>
              <w:fldChar w:fldCharType="separate"/>
            </w:r>
            <w:r>
              <w:rPr>
                <w:noProof/>
                <w:webHidden/>
              </w:rPr>
              <w:t>15</w:t>
            </w:r>
            <w:r>
              <w:rPr>
                <w:noProof/>
                <w:webHidden/>
              </w:rPr>
              <w:fldChar w:fldCharType="end"/>
            </w:r>
          </w:hyperlink>
        </w:p>
        <w:p w14:paraId="4689FA05" w14:textId="3DD2C1AA" w:rsidR="00B67F4B" w:rsidRDefault="00B67F4B">
          <w:pPr>
            <w:pStyle w:val="TOC1"/>
            <w:rPr>
              <w:rFonts w:eastAsiaTheme="minorEastAsia"/>
              <w:b w:val="0"/>
              <w:noProof/>
              <w:kern w:val="2"/>
              <w:sz w:val="24"/>
              <w:szCs w:val="24"/>
              <w:lang w:eastAsia="en-AU"/>
              <w14:ligatures w14:val="standardContextual"/>
            </w:rPr>
          </w:pPr>
          <w:hyperlink w:anchor="_Toc201582904" w:history="1">
            <w:r w:rsidRPr="002F5A61">
              <w:rPr>
                <w:rStyle w:val="Hyperlink"/>
                <w:noProof/>
              </w:rPr>
              <w:t>Evaluation criteria</w:t>
            </w:r>
            <w:r>
              <w:rPr>
                <w:noProof/>
                <w:webHidden/>
              </w:rPr>
              <w:tab/>
            </w:r>
            <w:r>
              <w:rPr>
                <w:noProof/>
                <w:webHidden/>
              </w:rPr>
              <w:fldChar w:fldCharType="begin"/>
            </w:r>
            <w:r>
              <w:rPr>
                <w:noProof/>
                <w:webHidden/>
              </w:rPr>
              <w:instrText xml:space="preserve"> PAGEREF _Toc201582904 \h </w:instrText>
            </w:r>
            <w:r>
              <w:rPr>
                <w:noProof/>
                <w:webHidden/>
              </w:rPr>
            </w:r>
            <w:r>
              <w:rPr>
                <w:noProof/>
                <w:webHidden/>
              </w:rPr>
              <w:fldChar w:fldCharType="separate"/>
            </w:r>
            <w:r>
              <w:rPr>
                <w:noProof/>
                <w:webHidden/>
              </w:rPr>
              <w:t>16</w:t>
            </w:r>
            <w:r>
              <w:rPr>
                <w:noProof/>
                <w:webHidden/>
              </w:rPr>
              <w:fldChar w:fldCharType="end"/>
            </w:r>
          </w:hyperlink>
        </w:p>
        <w:p w14:paraId="364968A9" w14:textId="008B401A" w:rsidR="00B67F4B" w:rsidRDefault="00B67F4B">
          <w:pPr>
            <w:pStyle w:val="TOC1"/>
            <w:rPr>
              <w:rFonts w:eastAsiaTheme="minorEastAsia"/>
              <w:b w:val="0"/>
              <w:noProof/>
              <w:kern w:val="2"/>
              <w:sz w:val="24"/>
              <w:szCs w:val="24"/>
              <w:lang w:eastAsia="en-AU"/>
              <w14:ligatures w14:val="standardContextual"/>
            </w:rPr>
          </w:pPr>
          <w:hyperlink w:anchor="_Toc201582905" w:history="1">
            <w:r w:rsidRPr="002F5A61">
              <w:rPr>
                <w:rStyle w:val="Hyperlink"/>
                <w:noProof/>
              </w:rPr>
              <w:t>Supplier Code of Conduct</w:t>
            </w:r>
            <w:r>
              <w:rPr>
                <w:noProof/>
                <w:webHidden/>
              </w:rPr>
              <w:tab/>
            </w:r>
            <w:r>
              <w:rPr>
                <w:noProof/>
                <w:webHidden/>
              </w:rPr>
              <w:fldChar w:fldCharType="begin"/>
            </w:r>
            <w:r>
              <w:rPr>
                <w:noProof/>
                <w:webHidden/>
              </w:rPr>
              <w:instrText xml:space="preserve"> PAGEREF _Toc201582905 \h </w:instrText>
            </w:r>
            <w:r>
              <w:rPr>
                <w:noProof/>
                <w:webHidden/>
              </w:rPr>
            </w:r>
            <w:r>
              <w:rPr>
                <w:noProof/>
                <w:webHidden/>
              </w:rPr>
              <w:fldChar w:fldCharType="separate"/>
            </w:r>
            <w:r>
              <w:rPr>
                <w:noProof/>
                <w:webHidden/>
              </w:rPr>
              <w:t>16</w:t>
            </w:r>
            <w:r>
              <w:rPr>
                <w:noProof/>
                <w:webHidden/>
              </w:rPr>
              <w:fldChar w:fldCharType="end"/>
            </w:r>
          </w:hyperlink>
        </w:p>
        <w:p w14:paraId="3940E2E0" w14:textId="2130B737" w:rsidR="00B67F4B" w:rsidRDefault="00B67F4B">
          <w:pPr>
            <w:pStyle w:val="TOC1"/>
            <w:rPr>
              <w:rFonts w:eastAsiaTheme="minorEastAsia"/>
              <w:b w:val="0"/>
              <w:noProof/>
              <w:kern w:val="2"/>
              <w:sz w:val="24"/>
              <w:szCs w:val="24"/>
              <w:lang w:eastAsia="en-AU"/>
              <w14:ligatures w14:val="standardContextual"/>
            </w:rPr>
          </w:pPr>
          <w:hyperlink w:anchor="_Toc201582906" w:history="1">
            <w:r w:rsidRPr="002F5A61">
              <w:rPr>
                <w:rStyle w:val="Hyperlink"/>
                <w:noProof/>
              </w:rPr>
              <w:t>Terms and conditions</w:t>
            </w:r>
            <w:r>
              <w:rPr>
                <w:noProof/>
                <w:webHidden/>
              </w:rPr>
              <w:tab/>
            </w:r>
            <w:r>
              <w:rPr>
                <w:noProof/>
                <w:webHidden/>
              </w:rPr>
              <w:fldChar w:fldCharType="begin"/>
            </w:r>
            <w:r>
              <w:rPr>
                <w:noProof/>
                <w:webHidden/>
              </w:rPr>
              <w:instrText xml:space="preserve"> PAGEREF _Toc201582906 \h </w:instrText>
            </w:r>
            <w:r>
              <w:rPr>
                <w:noProof/>
                <w:webHidden/>
              </w:rPr>
            </w:r>
            <w:r>
              <w:rPr>
                <w:noProof/>
                <w:webHidden/>
              </w:rPr>
              <w:fldChar w:fldCharType="separate"/>
            </w:r>
            <w:r>
              <w:rPr>
                <w:noProof/>
                <w:webHidden/>
              </w:rPr>
              <w:t>17</w:t>
            </w:r>
            <w:r>
              <w:rPr>
                <w:noProof/>
                <w:webHidden/>
              </w:rPr>
              <w:fldChar w:fldCharType="end"/>
            </w:r>
          </w:hyperlink>
        </w:p>
        <w:p w14:paraId="094C9028" w14:textId="6F2CB528" w:rsidR="00B67F4B" w:rsidRDefault="00B67F4B">
          <w:pPr>
            <w:pStyle w:val="TOC1"/>
            <w:rPr>
              <w:rFonts w:eastAsiaTheme="minorEastAsia"/>
              <w:b w:val="0"/>
              <w:noProof/>
              <w:kern w:val="2"/>
              <w:sz w:val="24"/>
              <w:szCs w:val="24"/>
              <w:lang w:eastAsia="en-AU"/>
              <w14:ligatures w14:val="standardContextual"/>
            </w:rPr>
          </w:pPr>
          <w:hyperlink w:anchor="_Toc201582907" w:history="1">
            <w:r w:rsidRPr="002F5A61">
              <w:rPr>
                <w:rStyle w:val="Hyperlink"/>
                <w:noProof/>
              </w:rPr>
              <w:t>Referees</w:t>
            </w:r>
            <w:r>
              <w:rPr>
                <w:noProof/>
                <w:webHidden/>
              </w:rPr>
              <w:tab/>
            </w:r>
            <w:r>
              <w:rPr>
                <w:noProof/>
                <w:webHidden/>
              </w:rPr>
              <w:fldChar w:fldCharType="begin"/>
            </w:r>
            <w:r>
              <w:rPr>
                <w:noProof/>
                <w:webHidden/>
              </w:rPr>
              <w:instrText xml:space="preserve"> PAGEREF _Toc201582907 \h </w:instrText>
            </w:r>
            <w:r>
              <w:rPr>
                <w:noProof/>
                <w:webHidden/>
              </w:rPr>
            </w:r>
            <w:r>
              <w:rPr>
                <w:noProof/>
                <w:webHidden/>
              </w:rPr>
              <w:fldChar w:fldCharType="separate"/>
            </w:r>
            <w:r>
              <w:rPr>
                <w:noProof/>
                <w:webHidden/>
              </w:rPr>
              <w:t>17</w:t>
            </w:r>
            <w:r>
              <w:rPr>
                <w:noProof/>
                <w:webHidden/>
              </w:rPr>
              <w:fldChar w:fldCharType="end"/>
            </w:r>
          </w:hyperlink>
        </w:p>
        <w:p w14:paraId="59430DC5" w14:textId="5BDAC368" w:rsidR="00B67F4B" w:rsidRDefault="00B67F4B">
          <w:pPr>
            <w:pStyle w:val="TOC1"/>
            <w:rPr>
              <w:rFonts w:eastAsiaTheme="minorEastAsia"/>
              <w:b w:val="0"/>
              <w:noProof/>
              <w:kern w:val="2"/>
              <w:sz w:val="24"/>
              <w:szCs w:val="24"/>
              <w:lang w:eastAsia="en-AU"/>
              <w14:ligatures w14:val="standardContextual"/>
            </w:rPr>
          </w:pPr>
          <w:hyperlink w:anchor="_Toc201582908" w:history="1">
            <w:r w:rsidRPr="002F5A61">
              <w:rPr>
                <w:rStyle w:val="Hyperlink"/>
                <w:noProof/>
              </w:rPr>
              <w:t>Before you lodge</w:t>
            </w:r>
            <w:r>
              <w:rPr>
                <w:noProof/>
                <w:webHidden/>
              </w:rPr>
              <w:tab/>
            </w:r>
            <w:r>
              <w:rPr>
                <w:noProof/>
                <w:webHidden/>
              </w:rPr>
              <w:fldChar w:fldCharType="begin"/>
            </w:r>
            <w:r>
              <w:rPr>
                <w:noProof/>
                <w:webHidden/>
              </w:rPr>
              <w:instrText xml:space="preserve"> PAGEREF _Toc201582908 \h </w:instrText>
            </w:r>
            <w:r>
              <w:rPr>
                <w:noProof/>
                <w:webHidden/>
              </w:rPr>
            </w:r>
            <w:r>
              <w:rPr>
                <w:noProof/>
                <w:webHidden/>
              </w:rPr>
              <w:fldChar w:fldCharType="separate"/>
            </w:r>
            <w:r>
              <w:rPr>
                <w:noProof/>
                <w:webHidden/>
              </w:rPr>
              <w:t>18</w:t>
            </w:r>
            <w:r>
              <w:rPr>
                <w:noProof/>
                <w:webHidden/>
              </w:rPr>
              <w:fldChar w:fldCharType="end"/>
            </w:r>
          </w:hyperlink>
        </w:p>
        <w:p w14:paraId="7C742417" w14:textId="46F8DE01" w:rsidR="00B67F4B" w:rsidRDefault="00B67F4B">
          <w:pPr>
            <w:pStyle w:val="TOC1"/>
            <w:rPr>
              <w:rFonts w:eastAsiaTheme="minorEastAsia"/>
              <w:b w:val="0"/>
              <w:noProof/>
              <w:kern w:val="2"/>
              <w:sz w:val="24"/>
              <w:szCs w:val="24"/>
              <w:lang w:eastAsia="en-AU"/>
              <w14:ligatures w14:val="standardContextual"/>
            </w:rPr>
          </w:pPr>
          <w:hyperlink w:anchor="_Toc201582909" w:history="1">
            <w:r w:rsidRPr="002F5A61">
              <w:rPr>
                <w:rStyle w:val="Hyperlink"/>
                <w:noProof/>
              </w:rPr>
              <w:t>Tender writing tips</w:t>
            </w:r>
            <w:r>
              <w:rPr>
                <w:noProof/>
                <w:webHidden/>
              </w:rPr>
              <w:tab/>
            </w:r>
            <w:r>
              <w:rPr>
                <w:noProof/>
                <w:webHidden/>
              </w:rPr>
              <w:fldChar w:fldCharType="begin"/>
            </w:r>
            <w:r>
              <w:rPr>
                <w:noProof/>
                <w:webHidden/>
              </w:rPr>
              <w:instrText xml:space="preserve"> PAGEREF _Toc201582909 \h </w:instrText>
            </w:r>
            <w:r>
              <w:rPr>
                <w:noProof/>
                <w:webHidden/>
              </w:rPr>
            </w:r>
            <w:r>
              <w:rPr>
                <w:noProof/>
                <w:webHidden/>
              </w:rPr>
              <w:fldChar w:fldCharType="separate"/>
            </w:r>
            <w:r>
              <w:rPr>
                <w:noProof/>
                <w:webHidden/>
              </w:rPr>
              <w:t>18</w:t>
            </w:r>
            <w:r>
              <w:rPr>
                <w:noProof/>
                <w:webHidden/>
              </w:rPr>
              <w:fldChar w:fldCharType="end"/>
            </w:r>
          </w:hyperlink>
        </w:p>
        <w:p w14:paraId="0E998B48" w14:textId="05CE2B10" w:rsidR="00B67F4B" w:rsidRDefault="00B67F4B">
          <w:pPr>
            <w:pStyle w:val="TOC1"/>
            <w:rPr>
              <w:rFonts w:eastAsiaTheme="minorEastAsia"/>
              <w:b w:val="0"/>
              <w:noProof/>
              <w:kern w:val="2"/>
              <w:sz w:val="24"/>
              <w:szCs w:val="24"/>
              <w:lang w:eastAsia="en-AU"/>
              <w14:ligatures w14:val="standardContextual"/>
            </w:rPr>
          </w:pPr>
          <w:hyperlink w:anchor="_Toc201582910" w:history="1">
            <w:r w:rsidRPr="002F5A61">
              <w:rPr>
                <w:rStyle w:val="Hyperlink"/>
                <w:rFonts w:cstheme="majorHAnsi"/>
                <w:noProof/>
              </w:rPr>
              <w:t>Things to watch out for</w:t>
            </w:r>
            <w:r>
              <w:rPr>
                <w:noProof/>
                <w:webHidden/>
              </w:rPr>
              <w:tab/>
            </w:r>
            <w:r>
              <w:rPr>
                <w:noProof/>
                <w:webHidden/>
              </w:rPr>
              <w:fldChar w:fldCharType="begin"/>
            </w:r>
            <w:r>
              <w:rPr>
                <w:noProof/>
                <w:webHidden/>
              </w:rPr>
              <w:instrText xml:space="preserve"> PAGEREF _Toc201582910 \h </w:instrText>
            </w:r>
            <w:r>
              <w:rPr>
                <w:noProof/>
                <w:webHidden/>
              </w:rPr>
            </w:r>
            <w:r>
              <w:rPr>
                <w:noProof/>
                <w:webHidden/>
              </w:rPr>
              <w:fldChar w:fldCharType="separate"/>
            </w:r>
            <w:r>
              <w:rPr>
                <w:noProof/>
                <w:webHidden/>
              </w:rPr>
              <w:t>21</w:t>
            </w:r>
            <w:r>
              <w:rPr>
                <w:noProof/>
                <w:webHidden/>
              </w:rPr>
              <w:fldChar w:fldCharType="end"/>
            </w:r>
          </w:hyperlink>
        </w:p>
        <w:p w14:paraId="338105A0" w14:textId="68FE34BA" w:rsidR="00B67F4B" w:rsidRDefault="00B67F4B">
          <w:pPr>
            <w:pStyle w:val="TOC1"/>
            <w:rPr>
              <w:rFonts w:eastAsiaTheme="minorEastAsia"/>
              <w:b w:val="0"/>
              <w:noProof/>
              <w:kern w:val="2"/>
              <w:sz w:val="24"/>
              <w:szCs w:val="24"/>
              <w:lang w:eastAsia="en-AU"/>
              <w14:ligatures w14:val="standardContextual"/>
            </w:rPr>
          </w:pPr>
          <w:hyperlink w:anchor="_Toc201582911" w:history="1">
            <w:r w:rsidRPr="002F5A61">
              <w:rPr>
                <w:rStyle w:val="Hyperlink"/>
                <w:noProof/>
              </w:rPr>
              <w:t>Common pitfalls</w:t>
            </w:r>
            <w:r>
              <w:rPr>
                <w:noProof/>
                <w:webHidden/>
              </w:rPr>
              <w:tab/>
            </w:r>
            <w:r>
              <w:rPr>
                <w:noProof/>
                <w:webHidden/>
              </w:rPr>
              <w:fldChar w:fldCharType="begin"/>
            </w:r>
            <w:r>
              <w:rPr>
                <w:noProof/>
                <w:webHidden/>
              </w:rPr>
              <w:instrText xml:space="preserve"> PAGEREF _Toc201582911 \h </w:instrText>
            </w:r>
            <w:r>
              <w:rPr>
                <w:noProof/>
                <w:webHidden/>
              </w:rPr>
            </w:r>
            <w:r>
              <w:rPr>
                <w:noProof/>
                <w:webHidden/>
              </w:rPr>
              <w:fldChar w:fldCharType="separate"/>
            </w:r>
            <w:r>
              <w:rPr>
                <w:noProof/>
                <w:webHidden/>
              </w:rPr>
              <w:t>22</w:t>
            </w:r>
            <w:r>
              <w:rPr>
                <w:noProof/>
                <w:webHidden/>
              </w:rPr>
              <w:fldChar w:fldCharType="end"/>
            </w:r>
          </w:hyperlink>
        </w:p>
        <w:p w14:paraId="77C19500" w14:textId="13042F1D" w:rsidR="00B67F4B" w:rsidRDefault="00B67F4B">
          <w:pPr>
            <w:pStyle w:val="TOC1"/>
            <w:rPr>
              <w:rFonts w:eastAsiaTheme="minorEastAsia"/>
              <w:b w:val="0"/>
              <w:noProof/>
              <w:kern w:val="2"/>
              <w:sz w:val="24"/>
              <w:szCs w:val="24"/>
              <w:lang w:eastAsia="en-AU"/>
              <w14:ligatures w14:val="standardContextual"/>
            </w:rPr>
          </w:pPr>
          <w:hyperlink w:anchor="_Toc201582912" w:history="1">
            <w:r w:rsidRPr="002F5A61">
              <w:rPr>
                <w:rStyle w:val="Hyperlink"/>
                <w:noProof/>
              </w:rPr>
              <w:t>Check</w:t>
            </w:r>
            <w:r>
              <w:rPr>
                <w:noProof/>
                <w:webHidden/>
              </w:rPr>
              <w:tab/>
            </w:r>
            <w:r>
              <w:rPr>
                <w:noProof/>
                <w:webHidden/>
              </w:rPr>
              <w:fldChar w:fldCharType="begin"/>
            </w:r>
            <w:r>
              <w:rPr>
                <w:noProof/>
                <w:webHidden/>
              </w:rPr>
              <w:instrText xml:space="preserve"> PAGEREF _Toc201582912 \h </w:instrText>
            </w:r>
            <w:r>
              <w:rPr>
                <w:noProof/>
                <w:webHidden/>
              </w:rPr>
            </w:r>
            <w:r>
              <w:rPr>
                <w:noProof/>
                <w:webHidden/>
              </w:rPr>
              <w:fldChar w:fldCharType="separate"/>
            </w:r>
            <w:r>
              <w:rPr>
                <w:noProof/>
                <w:webHidden/>
              </w:rPr>
              <w:t>22</w:t>
            </w:r>
            <w:r>
              <w:rPr>
                <w:noProof/>
                <w:webHidden/>
              </w:rPr>
              <w:fldChar w:fldCharType="end"/>
            </w:r>
          </w:hyperlink>
        </w:p>
        <w:p w14:paraId="587E24F3" w14:textId="63045E69" w:rsidR="00B67F4B" w:rsidRDefault="00B67F4B">
          <w:pPr>
            <w:pStyle w:val="TOC1"/>
            <w:rPr>
              <w:rFonts w:eastAsiaTheme="minorEastAsia"/>
              <w:b w:val="0"/>
              <w:noProof/>
              <w:kern w:val="2"/>
              <w:sz w:val="24"/>
              <w:szCs w:val="24"/>
              <w:lang w:eastAsia="en-AU"/>
              <w14:ligatures w14:val="standardContextual"/>
            </w:rPr>
          </w:pPr>
          <w:hyperlink w:anchor="_Toc201582913" w:history="1">
            <w:r w:rsidRPr="002F5A61">
              <w:rPr>
                <w:rStyle w:val="Hyperlink"/>
                <w:noProof/>
              </w:rPr>
              <w:t>Resources and contacts</w:t>
            </w:r>
            <w:r>
              <w:rPr>
                <w:noProof/>
                <w:webHidden/>
              </w:rPr>
              <w:tab/>
            </w:r>
            <w:r>
              <w:rPr>
                <w:noProof/>
                <w:webHidden/>
              </w:rPr>
              <w:fldChar w:fldCharType="begin"/>
            </w:r>
            <w:r>
              <w:rPr>
                <w:noProof/>
                <w:webHidden/>
              </w:rPr>
              <w:instrText xml:space="preserve"> PAGEREF _Toc201582913 \h </w:instrText>
            </w:r>
            <w:r>
              <w:rPr>
                <w:noProof/>
                <w:webHidden/>
              </w:rPr>
            </w:r>
            <w:r>
              <w:rPr>
                <w:noProof/>
                <w:webHidden/>
              </w:rPr>
              <w:fldChar w:fldCharType="separate"/>
            </w:r>
            <w:r>
              <w:rPr>
                <w:noProof/>
                <w:webHidden/>
              </w:rPr>
              <w:t>23</w:t>
            </w:r>
            <w:r>
              <w:rPr>
                <w:noProof/>
                <w:webHidden/>
              </w:rPr>
              <w:fldChar w:fldCharType="end"/>
            </w:r>
          </w:hyperlink>
        </w:p>
        <w:p w14:paraId="7A5C532B" w14:textId="490AEAA4" w:rsidR="00B67F4B" w:rsidRDefault="00B67F4B" w:rsidP="00A27FEC">
          <w:pPr>
            <w:pStyle w:val="TOC2"/>
            <w:rPr>
              <w:rFonts w:eastAsiaTheme="minorEastAsia"/>
              <w:kern w:val="2"/>
              <w:sz w:val="24"/>
              <w:szCs w:val="24"/>
              <w:lang w:eastAsia="en-AU"/>
              <w14:ligatures w14:val="standardContextual"/>
            </w:rPr>
          </w:pPr>
          <w:hyperlink w:anchor="_Toc201582914" w:history="1">
            <w:r w:rsidRPr="002F5A61">
              <w:rPr>
                <w:rStyle w:val="Hyperlink"/>
              </w:rPr>
              <w:t>Feedback</w:t>
            </w:r>
            <w:r>
              <w:rPr>
                <w:webHidden/>
              </w:rPr>
              <w:tab/>
            </w:r>
            <w:r>
              <w:rPr>
                <w:webHidden/>
              </w:rPr>
              <w:fldChar w:fldCharType="begin"/>
            </w:r>
            <w:r>
              <w:rPr>
                <w:webHidden/>
              </w:rPr>
              <w:instrText xml:space="preserve"> PAGEREF _Toc201582914 \h </w:instrText>
            </w:r>
            <w:r>
              <w:rPr>
                <w:webHidden/>
              </w:rPr>
            </w:r>
            <w:r>
              <w:rPr>
                <w:webHidden/>
              </w:rPr>
              <w:fldChar w:fldCharType="separate"/>
            </w:r>
            <w:r>
              <w:rPr>
                <w:webHidden/>
              </w:rPr>
              <w:t>23</w:t>
            </w:r>
            <w:r>
              <w:rPr>
                <w:webHidden/>
              </w:rPr>
              <w:fldChar w:fldCharType="end"/>
            </w:r>
          </w:hyperlink>
        </w:p>
        <w:p w14:paraId="42EF911B" w14:textId="78D26696" w:rsidR="00B67F4B" w:rsidRDefault="00B67F4B" w:rsidP="00A27FEC">
          <w:pPr>
            <w:pStyle w:val="TOC2"/>
            <w:rPr>
              <w:rStyle w:val="Hyperlink"/>
            </w:rPr>
          </w:pPr>
          <w:hyperlink w:anchor="_Toc201582915" w:history="1">
            <w:r w:rsidRPr="002F5A61">
              <w:rPr>
                <w:rStyle w:val="Hyperlink"/>
              </w:rPr>
              <w:t>Have further questions or want to get in touch?</w:t>
            </w:r>
            <w:r>
              <w:rPr>
                <w:webHidden/>
              </w:rPr>
              <w:tab/>
            </w:r>
            <w:r>
              <w:rPr>
                <w:webHidden/>
              </w:rPr>
              <w:fldChar w:fldCharType="begin"/>
            </w:r>
            <w:r>
              <w:rPr>
                <w:webHidden/>
              </w:rPr>
              <w:instrText xml:space="preserve"> PAGEREF _Toc201582915 \h </w:instrText>
            </w:r>
            <w:r>
              <w:rPr>
                <w:webHidden/>
              </w:rPr>
            </w:r>
            <w:r>
              <w:rPr>
                <w:webHidden/>
              </w:rPr>
              <w:fldChar w:fldCharType="separate"/>
            </w:r>
            <w:r>
              <w:rPr>
                <w:webHidden/>
              </w:rPr>
              <w:t>2</w:t>
            </w:r>
            <w:r w:rsidR="000E4B16">
              <w:rPr>
                <w:webHidden/>
              </w:rPr>
              <w:t>4</w:t>
            </w:r>
            <w:r>
              <w:rPr>
                <w:webHidden/>
              </w:rPr>
              <w:fldChar w:fldCharType="end"/>
            </w:r>
          </w:hyperlink>
        </w:p>
        <w:p w14:paraId="052BA312" w14:textId="77777777" w:rsidR="000E4B16" w:rsidRPr="000E4B16" w:rsidRDefault="000E4B16" w:rsidP="000E4B16"/>
        <w:p w14:paraId="38529C90" w14:textId="1F292935" w:rsidR="00B67F4B" w:rsidRDefault="00B67F4B">
          <w:r>
            <w:rPr>
              <w:b/>
              <w:bCs/>
              <w:noProof/>
            </w:rPr>
            <w:lastRenderedPageBreak/>
            <w:fldChar w:fldCharType="end"/>
          </w:r>
        </w:p>
      </w:sdtContent>
    </w:sdt>
    <w:p w14:paraId="190AAF6A" w14:textId="761BA089" w:rsidR="006F58E3" w:rsidRPr="00DD255D" w:rsidRDefault="006D1956" w:rsidP="009A4288">
      <w:pPr>
        <w:pStyle w:val="Heading1"/>
      </w:pPr>
      <w:bookmarkStart w:id="1" w:name="_Toc155860412"/>
      <w:bookmarkStart w:id="2" w:name="_Toc201582887"/>
      <w:r w:rsidRPr="00DD255D">
        <w:rPr>
          <w:rStyle w:val="Heading1Char"/>
        </w:rPr>
        <w:t>Purpose</w:t>
      </w:r>
      <w:bookmarkEnd w:id="1"/>
      <w:bookmarkEnd w:id="2"/>
    </w:p>
    <w:p w14:paraId="3C42C3E1" w14:textId="77777777" w:rsidR="004716C7" w:rsidRPr="004716C7" w:rsidRDefault="004716C7" w:rsidP="004716C7">
      <w:r w:rsidRPr="004716C7">
        <w:t>This session will provide you with practical steps for preparing and developing tender responses for Australian Government procurement opportunities. The workshop will cover key topics including how Australian Government organisations approach the market, considerations for responding to an approach to market, tender writing tips, and common pitfalls. </w:t>
      </w:r>
    </w:p>
    <w:p w14:paraId="6861613B" w14:textId="77777777" w:rsidR="004716C7" w:rsidRPr="004716C7" w:rsidRDefault="004716C7" w:rsidP="004716C7">
      <w:r w:rsidRPr="004716C7">
        <w:t>If you are interested in selling to the Australian Government, this session will provide valuable insights to enhance your tender response approach and increase your understanding of how the Australian Government buys goods and services.</w:t>
      </w:r>
    </w:p>
    <w:p w14:paraId="7ADC141C" w14:textId="77777777" w:rsidR="004716C7" w:rsidRPr="004716C7" w:rsidRDefault="004716C7" w:rsidP="004716C7">
      <w:r w:rsidRPr="004716C7">
        <w:rPr>
          <w:b/>
          <w:bCs/>
        </w:rPr>
        <w:t>What you’ll learn</w:t>
      </w:r>
    </w:p>
    <w:p w14:paraId="67FC63CA" w14:textId="030A46CC" w:rsidR="004716C7" w:rsidRPr="004716C7" w:rsidRDefault="0030789B" w:rsidP="009170CF">
      <w:pPr>
        <w:numPr>
          <w:ilvl w:val="0"/>
          <w:numId w:val="7"/>
        </w:numPr>
      </w:pPr>
      <w:r>
        <w:t>a</w:t>
      </w:r>
      <w:r w:rsidR="004716C7" w:rsidRPr="004716C7">
        <w:t xml:space="preserve"> brief overview of the Commonwealth Procurement Framework</w:t>
      </w:r>
    </w:p>
    <w:p w14:paraId="588D32B2" w14:textId="1AC6BCED" w:rsidR="004716C7" w:rsidRPr="004716C7" w:rsidRDefault="0030789B" w:rsidP="009170CF">
      <w:pPr>
        <w:numPr>
          <w:ilvl w:val="0"/>
          <w:numId w:val="7"/>
        </w:numPr>
      </w:pPr>
      <w:r>
        <w:t>h</w:t>
      </w:r>
      <w:r w:rsidR="004716C7" w:rsidRPr="004716C7">
        <w:t>ow Australian Government organisations approach the market</w:t>
      </w:r>
    </w:p>
    <w:p w14:paraId="3BDEA93C" w14:textId="274A48B4" w:rsidR="004716C7" w:rsidRPr="004716C7" w:rsidRDefault="0030789B" w:rsidP="009170CF">
      <w:pPr>
        <w:numPr>
          <w:ilvl w:val="0"/>
          <w:numId w:val="7"/>
        </w:numPr>
      </w:pPr>
      <w:r>
        <w:t>b</w:t>
      </w:r>
      <w:r w:rsidR="004716C7" w:rsidRPr="004716C7">
        <w:t>est practices for responding to an approach to market</w:t>
      </w:r>
    </w:p>
    <w:p w14:paraId="680F4314" w14:textId="49938107" w:rsidR="004716C7" w:rsidRPr="004716C7" w:rsidRDefault="0030789B" w:rsidP="009170CF">
      <w:pPr>
        <w:numPr>
          <w:ilvl w:val="0"/>
          <w:numId w:val="7"/>
        </w:numPr>
      </w:pPr>
      <w:r>
        <w:t>t</w:t>
      </w:r>
      <w:r w:rsidR="004716C7" w:rsidRPr="004716C7">
        <w:t>ender writing tips and key elements for a successful response</w:t>
      </w:r>
    </w:p>
    <w:p w14:paraId="2C8D3FC4" w14:textId="71FF1A67" w:rsidR="004716C7" w:rsidRPr="004716C7" w:rsidRDefault="0030789B" w:rsidP="009170CF">
      <w:pPr>
        <w:numPr>
          <w:ilvl w:val="0"/>
          <w:numId w:val="7"/>
        </w:numPr>
      </w:pPr>
      <w:r>
        <w:t>c</w:t>
      </w:r>
      <w:r w:rsidR="004716C7" w:rsidRPr="004716C7">
        <w:t>ommon pitfalls and how to avoid them</w:t>
      </w:r>
      <w:r>
        <w:t>.</w:t>
      </w:r>
    </w:p>
    <w:p w14:paraId="704E57DD" w14:textId="4994516E" w:rsidR="00A542AD" w:rsidRDefault="0047466B" w:rsidP="00AD4B7D">
      <w:r>
        <w:t>This session complements resources and information available on the Selling to Government we</w:t>
      </w:r>
      <w:r w:rsidR="00A542AD">
        <w:t>bsite (</w:t>
      </w:r>
      <w:hyperlink r:id="rId14" w:history="1">
        <w:r w:rsidR="00A542AD" w:rsidRPr="00AF10BA">
          <w:rPr>
            <w:rStyle w:val="Hyperlink"/>
            <w:rFonts w:cstheme="minorBidi"/>
          </w:rPr>
          <w:t>sellingtogov.finance.gov.au</w:t>
        </w:r>
      </w:hyperlink>
      <w:r w:rsidR="00A542AD">
        <w:t>).</w:t>
      </w:r>
    </w:p>
    <w:p w14:paraId="253736C4" w14:textId="48F002DB" w:rsidR="00AF10BA" w:rsidRDefault="00A542AD" w:rsidP="00A754D1">
      <w:r>
        <w:t xml:space="preserve">If you are interested in supplying to the Australian Government, visit </w:t>
      </w:r>
      <w:hyperlink r:id="rId15" w:history="1">
        <w:r w:rsidRPr="00AF10BA">
          <w:rPr>
            <w:rStyle w:val="Hyperlink"/>
            <w:rFonts w:cstheme="minorBidi"/>
          </w:rPr>
          <w:t>sellingtogov.finance.gov.au</w:t>
        </w:r>
      </w:hyperlink>
      <w:r>
        <w:t xml:space="preserve"> to find out more.</w:t>
      </w:r>
      <w:r w:rsidR="00AF10BA">
        <w:br w:type="page"/>
      </w:r>
    </w:p>
    <w:p w14:paraId="62441091" w14:textId="690E8604" w:rsidR="008F1D30" w:rsidRPr="009A4288" w:rsidRDefault="008552DA" w:rsidP="009A4288">
      <w:pPr>
        <w:pStyle w:val="Heading1"/>
      </w:pPr>
      <w:bookmarkStart w:id="3" w:name="_Toc155860413"/>
      <w:bookmarkStart w:id="4" w:name="_Toc201582888"/>
      <w:r w:rsidRPr="009A4288">
        <w:lastRenderedPageBreak/>
        <w:t>What does the Australian Government buy</w:t>
      </w:r>
      <w:r w:rsidR="008F1D30" w:rsidRPr="009A4288">
        <w:t>?</w:t>
      </w:r>
      <w:bookmarkEnd w:id="3"/>
      <w:bookmarkEnd w:id="4"/>
    </w:p>
    <w:p w14:paraId="226DC89F" w14:textId="0B40A64F" w:rsidR="00D167AE" w:rsidRDefault="00583529" w:rsidP="00DB1572">
      <w:pPr>
        <w:spacing w:before="120" w:after="120" w:line="288" w:lineRule="auto"/>
      </w:pPr>
      <w:r w:rsidRPr="00583529">
        <w:t>Australian Government organisations purchase a</w:t>
      </w:r>
      <w:r>
        <w:t xml:space="preserve"> </w:t>
      </w:r>
      <w:r w:rsidRPr="00583529">
        <w:rPr>
          <w:b/>
          <w:bCs/>
        </w:rPr>
        <w:t>variety of goods and services for delivery</w:t>
      </w:r>
      <w:r>
        <w:rPr>
          <w:b/>
          <w:bCs/>
        </w:rPr>
        <w:t xml:space="preserve"> </w:t>
      </w:r>
      <w:r w:rsidRPr="00583529">
        <w:rPr>
          <w:b/>
          <w:bCs/>
        </w:rPr>
        <w:t>across Australia</w:t>
      </w:r>
      <w:r w:rsidRPr="00583529">
        <w:t>, including in regional and</w:t>
      </w:r>
      <w:r>
        <w:t xml:space="preserve"> </w:t>
      </w:r>
      <w:r w:rsidRPr="00583529">
        <w:t>remote areas.</w:t>
      </w:r>
    </w:p>
    <w:p w14:paraId="627C8D58" w14:textId="086848D8" w:rsidR="00B00F5A" w:rsidRDefault="008946D5" w:rsidP="00DB1572">
      <w:pPr>
        <w:spacing w:before="120" w:after="120" w:line="288" w:lineRule="auto"/>
        <w:textAlignment w:val="baseline"/>
        <w:rPr>
          <w:rFonts w:eastAsia="Times New Roman" w:cstheme="minorHAnsi"/>
          <w:lang w:val="en-US" w:eastAsia="en-AU"/>
        </w:rPr>
      </w:pPr>
      <w:r w:rsidRPr="008946D5">
        <w:rPr>
          <w:rFonts w:eastAsia="Times New Roman" w:cstheme="minorHAnsi"/>
          <w:lang w:eastAsia="en-AU"/>
        </w:rPr>
        <w:t xml:space="preserve">The easiest way to find out what Australian Government organisations are interested in buying, is to visit </w:t>
      </w:r>
      <w:hyperlink r:id="rId16" w:history="1">
        <w:r w:rsidRPr="0064153F">
          <w:rPr>
            <w:rStyle w:val="Hyperlink"/>
            <w:rFonts w:eastAsia="Times New Roman" w:cstheme="minorHAnsi"/>
            <w:b/>
            <w:bCs/>
            <w:lang w:eastAsia="en-AU"/>
          </w:rPr>
          <w:t>AusTender</w:t>
        </w:r>
      </w:hyperlink>
      <w:r w:rsidRPr="008946D5">
        <w:rPr>
          <w:rFonts w:eastAsia="Times New Roman" w:cstheme="minorHAnsi"/>
          <w:lang w:val="en-US" w:eastAsia="en-AU"/>
        </w:rPr>
        <w:t xml:space="preserve">, the Australian Government’s central procurement information system. </w:t>
      </w:r>
      <w:r w:rsidRPr="008946D5">
        <w:rPr>
          <w:rFonts w:eastAsia="Times New Roman" w:cstheme="minorHAnsi"/>
          <w:lang w:eastAsia="en-AU"/>
        </w:rPr>
        <w:t>AusTender is a website, run by the Department of Finance, where you can find</w:t>
      </w:r>
      <w:r w:rsidRPr="008946D5">
        <w:rPr>
          <w:rFonts w:eastAsia="Times New Roman" w:cstheme="minorHAnsi"/>
          <w:lang w:val="en-US" w:eastAsia="en-AU"/>
        </w:rPr>
        <w:t xml:space="preserve"> what Australian Government organisations intend to buy, are out to market for, and who they are contracting with. </w:t>
      </w:r>
    </w:p>
    <w:p w14:paraId="29523DC2" w14:textId="264FE7CE" w:rsidR="008946D5" w:rsidRPr="008946D5" w:rsidRDefault="008946D5" w:rsidP="00DB1572">
      <w:pPr>
        <w:spacing w:before="120" w:after="120" w:line="288" w:lineRule="auto"/>
        <w:textAlignment w:val="baseline"/>
        <w:rPr>
          <w:rFonts w:eastAsia="Times New Roman" w:cstheme="minorHAnsi"/>
          <w:lang w:eastAsia="en-AU"/>
        </w:rPr>
      </w:pPr>
      <w:r w:rsidRPr="008946D5">
        <w:rPr>
          <w:rFonts w:eastAsia="Times New Roman" w:cstheme="minorHAnsi"/>
          <w:lang w:eastAsia="en-AU"/>
        </w:rPr>
        <w:t>All government departments must have an Annual Procurement plan, which is regularly updated, which indicates the procurement's they are planning to undertake each financial year. This may provide some indication to you about projects you may be able to tender for, or be involved in. </w:t>
      </w:r>
    </w:p>
    <w:p w14:paraId="5317FBC4" w14:textId="6EFF262A" w:rsidR="008946D5" w:rsidRDefault="008946D5" w:rsidP="00DB1572">
      <w:pPr>
        <w:spacing w:before="120" w:after="120" w:line="288" w:lineRule="auto"/>
        <w:textAlignment w:val="baseline"/>
        <w:rPr>
          <w:rFonts w:eastAsia="Times New Roman" w:cstheme="minorHAnsi"/>
          <w:lang w:eastAsia="en-AU"/>
        </w:rPr>
      </w:pPr>
      <w:r w:rsidRPr="008946D5">
        <w:rPr>
          <w:rFonts w:eastAsia="Times New Roman" w:cstheme="minorHAnsi"/>
          <w:lang w:eastAsia="en-AU"/>
        </w:rPr>
        <w:t xml:space="preserve">The </w:t>
      </w:r>
      <w:hyperlink r:id="rId17" w:history="1">
        <w:r w:rsidRPr="005E17C7">
          <w:rPr>
            <w:rStyle w:val="Hyperlink"/>
            <w:rFonts w:eastAsia="Times New Roman" w:cstheme="minorHAnsi"/>
            <w:lang w:eastAsia="en-AU"/>
          </w:rPr>
          <w:t>AusTender Help and Information Centre</w:t>
        </w:r>
      </w:hyperlink>
      <w:r w:rsidRPr="008946D5">
        <w:rPr>
          <w:rFonts w:eastAsia="Times New Roman" w:cstheme="minorHAnsi"/>
          <w:lang w:eastAsia="en-AU"/>
        </w:rPr>
        <w:t xml:space="preserve"> also includes a </w:t>
      </w:r>
      <w:r w:rsidRPr="008946D5">
        <w:rPr>
          <w:rFonts w:eastAsia="Times New Roman" w:cstheme="minorHAnsi"/>
          <w:b/>
          <w:bCs/>
          <w:lang w:eastAsia="en-AU"/>
        </w:rPr>
        <w:t>variety of guidance and reports</w:t>
      </w:r>
      <w:r w:rsidRPr="008946D5">
        <w:rPr>
          <w:rFonts w:eastAsia="Times New Roman" w:cstheme="minorHAnsi"/>
          <w:lang w:eastAsia="en-AU"/>
        </w:rPr>
        <w:t xml:space="preserve"> to help you better understand opportunities in your sector. </w:t>
      </w:r>
    </w:p>
    <w:p w14:paraId="0358F201" w14:textId="77777777" w:rsidR="0041388B" w:rsidRPr="008946D5" w:rsidRDefault="0041388B" w:rsidP="00DB1572">
      <w:pPr>
        <w:spacing w:before="120" w:after="120" w:line="288" w:lineRule="auto"/>
        <w:textAlignment w:val="baseline"/>
        <w:rPr>
          <w:rFonts w:eastAsia="Times New Roman" w:cstheme="minorHAnsi"/>
          <w:lang w:eastAsia="en-AU"/>
        </w:rPr>
      </w:pPr>
    </w:p>
    <w:p w14:paraId="72DA1372" w14:textId="473C5642" w:rsidR="0084675B" w:rsidRDefault="0084675B" w:rsidP="00946C6C">
      <w:pPr>
        <w:pStyle w:val="Boxed1Text"/>
        <w:spacing w:before="120" w:after="120" w:line="288" w:lineRule="auto"/>
        <w:jc w:val="center"/>
        <w:rPr>
          <w:b/>
          <w:bCs/>
        </w:rPr>
      </w:pPr>
      <w:r w:rsidRPr="0084675B">
        <w:rPr>
          <w:b/>
          <w:bCs/>
        </w:rPr>
        <w:t>Top 5 categories for small and medium enterprises in 2023-24</w:t>
      </w:r>
    </w:p>
    <w:p w14:paraId="139051E5" w14:textId="761D2572" w:rsidR="005524B7" w:rsidRPr="00DD1A8E" w:rsidRDefault="00752EA9" w:rsidP="00946C6C">
      <w:pPr>
        <w:pStyle w:val="Boxed1Text"/>
        <w:spacing w:before="120" w:after="120" w:line="288" w:lineRule="auto"/>
      </w:pPr>
      <w:r w:rsidRPr="00DD1A8E">
        <w:t>Management and Business Professionals and Administrative Services</w:t>
      </w:r>
      <w:r w:rsidR="00986603" w:rsidRPr="00DD1A8E">
        <w:t xml:space="preserve"> - 13,582 contracts awarded 49.1% of category</w:t>
      </w:r>
    </w:p>
    <w:p w14:paraId="3A288296" w14:textId="78A26186" w:rsidR="005524B7" w:rsidRPr="00DD1A8E" w:rsidRDefault="00986603" w:rsidP="00946C6C">
      <w:pPr>
        <w:pStyle w:val="Boxed1Text"/>
        <w:spacing w:before="120" w:after="120" w:line="288" w:lineRule="auto"/>
      </w:pPr>
      <w:r w:rsidRPr="00DD1A8E">
        <w:t>Engineering and Research and Technology Based Services - 6,659 contracts awarded 54.1% of category</w:t>
      </w:r>
    </w:p>
    <w:p w14:paraId="42B9A0E0" w14:textId="40449F32" w:rsidR="005524B7" w:rsidRPr="00DD1A8E" w:rsidRDefault="00724838" w:rsidP="00946C6C">
      <w:pPr>
        <w:pStyle w:val="Boxed1Text"/>
        <w:spacing w:before="120" w:after="120" w:line="288" w:lineRule="auto"/>
      </w:pPr>
      <w:r w:rsidRPr="00DD1A8E">
        <w:t xml:space="preserve">Commercial and Military and Private Vehicles and their Accessories and Components - </w:t>
      </w:r>
      <w:r w:rsidR="008C4B72" w:rsidRPr="00DD1A8E">
        <w:t>3,145 contracts awarded 53.0% of category</w:t>
      </w:r>
    </w:p>
    <w:p w14:paraId="2AE6CEDB" w14:textId="083ABCA2" w:rsidR="005524B7" w:rsidRPr="00DD1A8E" w:rsidRDefault="008C4B72" w:rsidP="00946C6C">
      <w:pPr>
        <w:pStyle w:val="Boxed1Text"/>
        <w:spacing w:before="120" w:after="120" w:line="288" w:lineRule="auto"/>
      </w:pPr>
      <w:r w:rsidRPr="00DD1A8E">
        <w:t>Information Technology Broadcasting and Telecommunications - 2,902 contracts awarded 43.4% of category</w:t>
      </w:r>
    </w:p>
    <w:p w14:paraId="6DD1A5E9" w14:textId="32013BC6" w:rsidR="0084675B" w:rsidRPr="00DD1A8E" w:rsidRDefault="005524B7" w:rsidP="00946C6C">
      <w:pPr>
        <w:pStyle w:val="Boxed1Text"/>
        <w:spacing w:before="120" w:after="120" w:line="288" w:lineRule="auto"/>
      </w:pPr>
      <w:r w:rsidRPr="00DD1A8E">
        <w:t>Education and Training Services</w:t>
      </w:r>
      <w:r w:rsidR="008C4B72" w:rsidRPr="00DD1A8E">
        <w:t xml:space="preserve"> -</w:t>
      </w:r>
      <w:r w:rsidRPr="00DD1A8E">
        <w:t xml:space="preserve"> 2,639 contracts awarded 61.2% of category</w:t>
      </w:r>
    </w:p>
    <w:p w14:paraId="3418E171" w14:textId="77777777" w:rsidR="0084675B" w:rsidRDefault="0084675B" w:rsidP="0042526B">
      <w:pPr>
        <w:pStyle w:val="Boxed1Text"/>
      </w:pPr>
    </w:p>
    <w:p w14:paraId="565CAA89" w14:textId="77777777" w:rsidR="008C4B72" w:rsidRDefault="008C4B72">
      <w:pPr>
        <w:suppressAutoHyphens w:val="0"/>
        <w:spacing w:before="0" w:after="120" w:line="440" w:lineRule="atLeast"/>
        <w:rPr>
          <w:rFonts w:asciiTheme="majorHAnsi" w:eastAsiaTheme="majorEastAsia" w:hAnsiTheme="majorHAnsi" w:cstheme="majorBidi"/>
          <w:color w:val="006066"/>
          <w:sz w:val="34"/>
          <w:szCs w:val="26"/>
          <w:lang w:val="en-US"/>
        </w:rPr>
      </w:pPr>
      <w:bookmarkStart w:id="5" w:name="_Toc155860416"/>
      <w:r>
        <w:br w:type="page"/>
      </w:r>
    </w:p>
    <w:p w14:paraId="569F7EB5" w14:textId="46DE94DB" w:rsidR="002B6F4C" w:rsidRDefault="008C4B72" w:rsidP="009A4288">
      <w:pPr>
        <w:pStyle w:val="Heading1"/>
      </w:pPr>
      <w:bookmarkStart w:id="6" w:name="_Toc201582889"/>
      <w:bookmarkEnd w:id="5"/>
      <w:r w:rsidRPr="00E3496C">
        <w:lastRenderedPageBreak/>
        <w:t>Commonwealth Procurement Rules</w:t>
      </w:r>
      <w:bookmarkEnd w:id="6"/>
    </w:p>
    <w:p w14:paraId="09746FA1" w14:textId="77777777" w:rsidR="00E3496C" w:rsidRPr="00E3496C" w:rsidRDefault="00E3496C" w:rsidP="00E3496C">
      <w:pPr>
        <w:rPr>
          <w:lang w:val="en-US"/>
        </w:rPr>
      </w:pPr>
    </w:p>
    <w:p w14:paraId="1FCF96DB" w14:textId="28496F1D" w:rsidR="008C5236" w:rsidRDefault="008C5236" w:rsidP="004E4F61">
      <w:pPr>
        <w:pStyle w:val="Boxed3Text"/>
        <w:pBdr>
          <w:right w:val="single" w:sz="4" w:space="24" w:color="FFEACC" w:themeColor="accent6" w:themeTint="33"/>
        </w:pBdr>
        <w:jc w:val="center"/>
      </w:pPr>
      <w:r w:rsidRPr="008C5236">
        <w:t xml:space="preserve">The Australian Government is </w:t>
      </w:r>
      <w:r w:rsidRPr="008C5236">
        <w:rPr>
          <w:b/>
          <w:bCs/>
        </w:rPr>
        <w:t xml:space="preserve">accountable </w:t>
      </w:r>
      <w:r w:rsidRPr="008C5236">
        <w:t xml:space="preserve">for how its entities spend </w:t>
      </w:r>
      <w:r w:rsidR="00F81B64">
        <w:br/>
      </w:r>
      <w:r w:rsidRPr="008C5236">
        <w:rPr>
          <w:b/>
          <w:bCs/>
        </w:rPr>
        <w:t xml:space="preserve">taxpayer </w:t>
      </w:r>
      <w:r w:rsidR="004E4F61">
        <w:rPr>
          <w:b/>
          <w:bCs/>
        </w:rPr>
        <w:t>m</w:t>
      </w:r>
      <w:r w:rsidRPr="008C5236">
        <w:rPr>
          <w:b/>
          <w:bCs/>
        </w:rPr>
        <w:t>oney</w:t>
      </w:r>
      <w:r w:rsidRPr="008C5236">
        <w:t>.</w:t>
      </w:r>
    </w:p>
    <w:p w14:paraId="10916716" w14:textId="77777777" w:rsidR="00BD6E69" w:rsidRDefault="00BD6E69" w:rsidP="00182749">
      <w:pPr>
        <w:spacing w:before="120" w:after="120" w:line="312" w:lineRule="auto"/>
        <w:rPr>
          <w:rFonts w:ascii="Calibri" w:eastAsia="Calibri" w:hAnsi="Calibri" w:cs="Calibri"/>
        </w:rPr>
      </w:pPr>
    </w:p>
    <w:p w14:paraId="72B42304" w14:textId="6ED8DC89" w:rsidR="00182749" w:rsidRPr="00BD6E69" w:rsidRDefault="00182749" w:rsidP="00BD6E69">
      <w:pPr>
        <w:spacing w:before="120" w:after="120" w:line="288" w:lineRule="auto"/>
        <w:rPr>
          <w:rFonts w:eastAsia="Calibri" w:cstheme="minorHAnsi"/>
        </w:rPr>
      </w:pPr>
      <w:r w:rsidRPr="00BD6E69">
        <w:rPr>
          <w:rFonts w:eastAsia="Calibri" w:cstheme="minorHAnsi"/>
        </w:rPr>
        <w:t xml:space="preserve">The Australian Government is accountable for how its organisations spend public money. To ensure procurement processes demonstrate the highest standards of ethics, probity and integrity, the Government has the Commonwealth Procurement Rules, also known as the CPRs. The CPRs reflect the Australian Government’s policies, expectations and rules for buyers to ensure the proper use of public funds, and that procurement processes are open, fair, and ethical. </w:t>
      </w:r>
    </w:p>
    <w:p w14:paraId="03B03310" w14:textId="77777777" w:rsidR="00182749" w:rsidRPr="00BD6E69" w:rsidRDefault="00182749" w:rsidP="00BD6E69">
      <w:pPr>
        <w:spacing w:before="120" w:after="120" w:line="288" w:lineRule="auto"/>
        <w:rPr>
          <w:rFonts w:eastAsia="Calibri" w:cstheme="minorHAnsi"/>
        </w:rPr>
      </w:pPr>
      <w:r w:rsidRPr="00BD6E69">
        <w:rPr>
          <w:rFonts w:eastAsia="Calibri" w:cstheme="minorHAnsi"/>
        </w:rPr>
        <w:t xml:space="preserve">Achieving value for money is the core rule of the CPRs. Achieving value for money is critical in ensuring that public resources are used in the most efficient, effective, ethical and economic manner. </w:t>
      </w:r>
    </w:p>
    <w:p w14:paraId="19A3A1CA" w14:textId="77777777" w:rsidR="00182749" w:rsidRPr="00BD6E69" w:rsidRDefault="00182749" w:rsidP="00BD6E69">
      <w:pPr>
        <w:spacing w:before="120" w:after="120" w:line="288" w:lineRule="auto"/>
        <w:rPr>
          <w:rFonts w:eastAsia="Calibri" w:cstheme="minorHAnsi"/>
          <w:lang w:val="en-US"/>
        </w:rPr>
      </w:pPr>
      <w:r w:rsidRPr="00BD6E69">
        <w:rPr>
          <w:rFonts w:eastAsia="Calibri" w:cstheme="minorHAnsi"/>
          <w:lang w:val="en-US"/>
        </w:rPr>
        <w:t xml:space="preserve">The CPRs also set out the Australian Government’s commitment to leverage its purchasing power, to realise broader economic, social and environmental benefits for Australia. </w:t>
      </w:r>
    </w:p>
    <w:p w14:paraId="358285F8" w14:textId="77777777" w:rsidR="00182749" w:rsidRPr="00BD6E69" w:rsidRDefault="00182749" w:rsidP="00BD6E69">
      <w:pPr>
        <w:spacing w:before="120" w:after="120" w:line="288" w:lineRule="auto"/>
        <w:rPr>
          <w:rFonts w:eastAsia="Calibri" w:cstheme="minorHAnsi"/>
        </w:rPr>
      </w:pPr>
      <w:r w:rsidRPr="00BD6E69">
        <w:rPr>
          <w:rFonts w:eastAsia="Calibri" w:cstheme="minorHAnsi"/>
        </w:rPr>
        <w:t>The CPRs are part of a larger procurement framework which organisations apply and includes government policy, web-based guidance, templates and tools.</w:t>
      </w:r>
    </w:p>
    <w:p w14:paraId="6B5A4EC9" w14:textId="77777777" w:rsidR="00182749" w:rsidRPr="00BD6E69" w:rsidRDefault="00182749" w:rsidP="00BD6E69">
      <w:pPr>
        <w:spacing w:before="120" w:after="120" w:line="288" w:lineRule="auto"/>
        <w:rPr>
          <w:rFonts w:eastAsia="Calibri" w:cstheme="minorHAnsi"/>
        </w:rPr>
      </w:pPr>
      <w:r w:rsidRPr="00BD6E69">
        <w:rPr>
          <w:rFonts w:eastAsia="Calibri" w:cstheme="minorHAnsi"/>
        </w:rPr>
        <w:t>The procurement framework is devolved. This means there is a single framework with a single set of rules that organisations must comply with, but they are able to undertake their procurement activities in a manner which best suits their business needs.</w:t>
      </w:r>
    </w:p>
    <w:p w14:paraId="028D711B" w14:textId="77777777" w:rsidR="00182749" w:rsidRPr="00BD6E69" w:rsidRDefault="00182749" w:rsidP="00BD6E69">
      <w:pPr>
        <w:spacing w:before="120" w:after="120" w:line="288" w:lineRule="auto"/>
        <w:rPr>
          <w:rFonts w:eastAsia="Calibri" w:cstheme="minorHAnsi"/>
        </w:rPr>
      </w:pPr>
      <w:r w:rsidRPr="00BD6E69">
        <w:rPr>
          <w:rFonts w:eastAsia="Calibri" w:cstheme="minorHAnsi"/>
        </w:rPr>
        <w:t>Becoming familiar with the CPRs will help you understand how buyers conduct procurement activities. This in turn will help you to develop better tender responses.</w:t>
      </w:r>
    </w:p>
    <w:p w14:paraId="0738C47F" w14:textId="43E1E714" w:rsidR="00182749" w:rsidRPr="00BD6E69" w:rsidRDefault="004459D9" w:rsidP="00BD6E69">
      <w:pPr>
        <w:spacing w:before="120" w:after="120" w:line="288" w:lineRule="auto"/>
        <w:rPr>
          <w:rFonts w:eastAsia="Calibri" w:cstheme="minorHAnsi"/>
        </w:rPr>
      </w:pPr>
      <w:r>
        <w:rPr>
          <w:rFonts w:eastAsia="Calibri" w:cstheme="minorHAnsi"/>
        </w:rPr>
        <w:t>T</w:t>
      </w:r>
      <w:r w:rsidR="00182749" w:rsidRPr="00BD6E69">
        <w:rPr>
          <w:rFonts w:eastAsia="Calibri" w:cstheme="minorHAnsi"/>
        </w:rPr>
        <w:t>here are some key terms and requirements you might wish to familiarise yourself with. There are also policy levers which enable buyers to directly engage small businesses and Indigenous owned businesses.</w:t>
      </w:r>
    </w:p>
    <w:p w14:paraId="1EC510D9" w14:textId="27D6EBA5" w:rsidR="00F72E58" w:rsidRPr="00BD6E69" w:rsidRDefault="00182749" w:rsidP="00BD6E69">
      <w:pPr>
        <w:spacing w:before="120" w:after="120" w:line="288" w:lineRule="auto"/>
        <w:rPr>
          <w:rFonts w:cstheme="minorHAnsi"/>
        </w:rPr>
      </w:pPr>
      <w:r w:rsidRPr="00BD6E69">
        <w:rPr>
          <w:rFonts w:eastAsia="Calibri" w:cstheme="minorHAnsi"/>
          <w:b/>
          <w:bCs/>
          <w:lang w:val="en-US"/>
        </w:rPr>
        <w:t>Link</w:t>
      </w:r>
      <w:r w:rsidRPr="00BD6E69">
        <w:rPr>
          <w:rFonts w:eastAsia="Calibri" w:cstheme="minorHAnsi"/>
          <w:lang w:val="en-US"/>
        </w:rPr>
        <w:t xml:space="preserve">: </w:t>
      </w:r>
      <w:hyperlink r:id="rId18" w:history="1">
        <w:r w:rsidRPr="00BD6E69">
          <w:rPr>
            <w:rFonts w:eastAsia="Calibri" w:cstheme="minorHAnsi"/>
            <w:color w:val="0563C1"/>
            <w:u w:val="single"/>
          </w:rPr>
          <w:t>Commonwealth Procurement Rules | Department of Finance</w:t>
        </w:r>
      </w:hyperlink>
    </w:p>
    <w:p w14:paraId="49C9690E" w14:textId="77777777" w:rsidR="00F72E58" w:rsidRDefault="00F72E58">
      <w:pPr>
        <w:suppressAutoHyphens w:val="0"/>
        <w:spacing w:before="0" w:after="120" w:line="440" w:lineRule="atLeast"/>
      </w:pPr>
      <w:r>
        <w:br w:type="page"/>
      </w:r>
    </w:p>
    <w:p w14:paraId="221B5AC9" w14:textId="41CFA274" w:rsidR="00F72E58" w:rsidRPr="009A4288" w:rsidRDefault="00F72E58" w:rsidP="009A4288">
      <w:pPr>
        <w:pStyle w:val="Heading1"/>
      </w:pPr>
      <w:bookmarkStart w:id="7" w:name="_Toc201582890"/>
      <w:r w:rsidRPr="009A4288">
        <w:lastRenderedPageBreak/>
        <w:t>Procurement methods</w:t>
      </w:r>
      <w:bookmarkEnd w:id="7"/>
    </w:p>
    <w:p w14:paraId="5C0F8ABB" w14:textId="118D61AB" w:rsidR="00561855" w:rsidRDefault="00561855" w:rsidP="00561855">
      <w:pPr>
        <w:rPr>
          <w:b/>
          <w:bCs/>
        </w:rPr>
      </w:pPr>
      <w:r w:rsidRPr="00561855">
        <w:t xml:space="preserve">Australian Government procurement is conducted by </w:t>
      </w:r>
      <w:r w:rsidRPr="00561855">
        <w:rPr>
          <w:b/>
          <w:bCs/>
        </w:rPr>
        <w:t xml:space="preserve">open tender </w:t>
      </w:r>
      <w:r w:rsidRPr="00561855">
        <w:t>or</w:t>
      </w:r>
      <w:r>
        <w:t xml:space="preserve"> </w:t>
      </w:r>
      <w:r w:rsidRPr="00561855">
        <w:rPr>
          <w:b/>
          <w:bCs/>
        </w:rPr>
        <w:t>limited tender</w:t>
      </w:r>
      <w:r>
        <w:rPr>
          <w:b/>
          <w:bCs/>
        </w:rPr>
        <w:t>.</w:t>
      </w:r>
    </w:p>
    <w:p w14:paraId="4FDB3F17" w14:textId="77777777" w:rsidR="002A4DA9" w:rsidRDefault="002A4DA9" w:rsidP="00561855">
      <w:pPr>
        <w:rPr>
          <w:b/>
          <w:bCs/>
        </w:rPr>
      </w:pPr>
    </w:p>
    <w:p w14:paraId="7354D0C7" w14:textId="17DA53F6" w:rsidR="004F7D9F" w:rsidRDefault="00B85208" w:rsidP="00681ED5">
      <w:pPr>
        <w:pStyle w:val="Boxed1Text"/>
        <w:spacing w:before="120" w:after="120" w:line="288" w:lineRule="auto"/>
        <w:jc w:val="center"/>
      </w:pPr>
      <w:r w:rsidRPr="0055676A">
        <w:rPr>
          <w:b/>
          <w:bCs/>
        </w:rPr>
        <w:t>Open Tender</w:t>
      </w:r>
    </w:p>
    <w:p w14:paraId="70E0D3E1" w14:textId="1CF1624C" w:rsidR="001334BD" w:rsidRPr="00561855" w:rsidRDefault="001334BD" w:rsidP="00681ED5">
      <w:pPr>
        <w:pStyle w:val="Boxed1Text"/>
        <w:spacing w:before="120" w:after="120" w:line="288" w:lineRule="auto"/>
        <w:jc w:val="center"/>
      </w:pPr>
      <w:r w:rsidRPr="001334BD">
        <w:t>Advertised publicly and open to any supplier to respond</w:t>
      </w:r>
      <w:r w:rsidR="0055676A">
        <w:t>.</w:t>
      </w:r>
    </w:p>
    <w:p w14:paraId="79FCE1E3" w14:textId="77777777" w:rsidR="002A4DA9" w:rsidRDefault="002A4DA9" w:rsidP="005A3941">
      <w:pPr>
        <w:spacing w:before="120" w:after="120" w:line="312" w:lineRule="auto"/>
        <w:textAlignment w:val="baseline"/>
        <w:rPr>
          <w:rFonts w:ascii="Calibri" w:eastAsia="Calibri" w:hAnsi="Calibri" w:cs="Calibri"/>
          <w:b/>
          <w:bCs/>
        </w:rPr>
      </w:pPr>
    </w:p>
    <w:p w14:paraId="3AD55A93" w14:textId="17F05516" w:rsidR="005A3941" w:rsidRPr="00E91C31" w:rsidRDefault="005A3941" w:rsidP="00681ED5">
      <w:pPr>
        <w:spacing w:before="120" w:after="120" w:line="288" w:lineRule="auto"/>
        <w:textAlignment w:val="baseline"/>
        <w:rPr>
          <w:rFonts w:eastAsia="Calibri" w:cstheme="minorHAnsi"/>
        </w:rPr>
      </w:pPr>
      <w:r w:rsidRPr="00E91C31">
        <w:rPr>
          <w:rFonts w:eastAsia="Calibri" w:cstheme="minorHAnsi"/>
          <w:b/>
          <w:bCs/>
        </w:rPr>
        <w:t>Open tender</w:t>
      </w:r>
      <w:r w:rsidRPr="00E91C31">
        <w:rPr>
          <w:rFonts w:eastAsia="Calibri" w:cstheme="minorHAnsi"/>
        </w:rPr>
        <w:t xml:space="preserve"> involves publishing an open approach to market and inviting submissions. These are advertised publicly and open to any supplier to respond. Open tenders are advertised on AusTender.</w:t>
      </w:r>
    </w:p>
    <w:p w14:paraId="26008442" w14:textId="77777777" w:rsidR="005A3941" w:rsidRPr="00E91C31" w:rsidRDefault="005A3941" w:rsidP="00681ED5">
      <w:pPr>
        <w:spacing w:before="120" w:after="120" w:line="288" w:lineRule="auto"/>
        <w:rPr>
          <w:rFonts w:eastAsia="Calibri" w:cstheme="minorHAnsi"/>
        </w:rPr>
      </w:pPr>
      <w:r w:rsidRPr="00E91C31">
        <w:rPr>
          <w:rFonts w:eastAsia="Calibri" w:cstheme="minorHAnsi"/>
        </w:rPr>
        <w:t>Open tender is the default method for purchases with an expected value over:</w:t>
      </w:r>
    </w:p>
    <w:p w14:paraId="7CDE9D0F" w14:textId="77777777" w:rsidR="005A3941" w:rsidRPr="00E91C31" w:rsidRDefault="005A3941" w:rsidP="00681ED5">
      <w:pPr>
        <w:numPr>
          <w:ilvl w:val="2"/>
          <w:numId w:val="23"/>
        </w:numPr>
        <w:suppressAutoHyphens w:val="0"/>
        <w:spacing w:before="120" w:after="120" w:line="288" w:lineRule="auto"/>
        <w:rPr>
          <w:rFonts w:eastAsia="Calibri" w:cstheme="minorHAnsi"/>
        </w:rPr>
      </w:pPr>
      <w:r w:rsidRPr="00E91C31">
        <w:rPr>
          <w:rFonts w:eastAsia="Times New Roman" w:cstheme="minorHAnsi"/>
          <w:lang w:eastAsia="en-AU"/>
        </w:rPr>
        <w:t>$</w:t>
      </w:r>
      <w:r w:rsidRPr="00E91C31">
        <w:rPr>
          <w:rFonts w:eastAsia="Calibri" w:cstheme="minorHAnsi"/>
        </w:rPr>
        <w:t>80,000 for non-corporate Commonwealth entities – these are government organisations which don’t make money, generally with Department in their name. </w:t>
      </w:r>
    </w:p>
    <w:p w14:paraId="033C346D" w14:textId="77777777" w:rsidR="005A3941" w:rsidRPr="00E91C31" w:rsidRDefault="005A3941" w:rsidP="00681ED5">
      <w:pPr>
        <w:numPr>
          <w:ilvl w:val="2"/>
          <w:numId w:val="23"/>
        </w:numPr>
        <w:suppressAutoHyphens w:val="0"/>
        <w:spacing w:before="120" w:after="120" w:line="288" w:lineRule="auto"/>
        <w:rPr>
          <w:rFonts w:eastAsia="Calibri" w:cstheme="minorHAnsi"/>
        </w:rPr>
      </w:pPr>
      <w:r w:rsidRPr="00E91C31">
        <w:rPr>
          <w:rFonts w:eastAsia="Calibri" w:cstheme="minorHAnsi"/>
        </w:rPr>
        <w:t>$400,000 for prescribed corporate Commonwealth entities – these are organisations that can charge for their services, such as CSIRO. </w:t>
      </w:r>
    </w:p>
    <w:p w14:paraId="37B3E355" w14:textId="77777777" w:rsidR="005A3941" w:rsidRPr="00E91C31" w:rsidRDefault="005A3941" w:rsidP="00681ED5">
      <w:pPr>
        <w:numPr>
          <w:ilvl w:val="2"/>
          <w:numId w:val="23"/>
        </w:numPr>
        <w:suppressAutoHyphens w:val="0"/>
        <w:spacing w:before="120" w:after="120" w:line="288" w:lineRule="auto"/>
        <w:rPr>
          <w:rFonts w:eastAsia="Times New Roman" w:cstheme="minorHAnsi"/>
          <w:lang w:eastAsia="en-AU"/>
        </w:rPr>
      </w:pPr>
      <w:r w:rsidRPr="00E91C31">
        <w:rPr>
          <w:rFonts w:eastAsia="Times New Roman" w:cstheme="minorHAnsi"/>
          <w:lang w:eastAsia="en-AU"/>
        </w:rPr>
        <w:t>$7.5 million for procurement of construction services.</w:t>
      </w:r>
    </w:p>
    <w:p w14:paraId="0B251464" w14:textId="77777777" w:rsidR="005A3941" w:rsidRPr="00E91C31" w:rsidRDefault="005A3941" w:rsidP="00681ED5">
      <w:pPr>
        <w:spacing w:before="120" w:after="120" w:line="288" w:lineRule="auto"/>
        <w:rPr>
          <w:rFonts w:eastAsia="Times New Roman" w:cstheme="minorHAnsi"/>
          <w:lang w:eastAsia="en-AU"/>
        </w:rPr>
      </w:pPr>
      <w:r w:rsidRPr="00E91C31">
        <w:rPr>
          <w:rFonts w:eastAsia="Times New Roman" w:cstheme="minorHAnsi"/>
          <w:lang w:eastAsia="en-AU"/>
        </w:rPr>
        <w:t>The expected value of a procurement must be estimated before a decision on the procurement method is made. The maximum value, including GST, includes options, extensions, renewals, or other mechanisms that may be executed over the life of the contract.</w:t>
      </w:r>
    </w:p>
    <w:p w14:paraId="43EDF392" w14:textId="77777777" w:rsidR="002A4DA9" w:rsidRDefault="002A4DA9" w:rsidP="005A3941">
      <w:pPr>
        <w:spacing w:before="120" w:after="120" w:line="312" w:lineRule="auto"/>
        <w:rPr>
          <w:rFonts w:ascii="Calibri" w:eastAsia="Times New Roman" w:hAnsi="Calibri" w:cs="Calibri"/>
          <w:lang w:eastAsia="en-AU"/>
        </w:rPr>
      </w:pPr>
    </w:p>
    <w:p w14:paraId="2CE37E43" w14:textId="77777777" w:rsidR="002A4DA9" w:rsidRPr="009C0FEE" w:rsidRDefault="002A4DA9" w:rsidP="00681ED5">
      <w:pPr>
        <w:pStyle w:val="Boxed3Text"/>
        <w:spacing w:before="120" w:after="120" w:line="288" w:lineRule="auto"/>
        <w:jc w:val="center"/>
        <w:rPr>
          <w:b/>
          <w:bCs/>
        </w:rPr>
      </w:pPr>
      <w:r w:rsidRPr="009C0FEE">
        <w:rPr>
          <w:b/>
          <w:bCs/>
        </w:rPr>
        <w:t>Limited Tender</w:t>
      </w:r>
    </w:p>
    <w:p w14:paraId="2E6F8D1C" w14:textId="7E186E85" w:rsidR="002A4DA9" w:rsidRPr="00F72E58" w:rsidRDefault="002A4DA9" w:rsidP="00681ED5">
      <w:pPr>
        <w:pStyle w:val="Boxed3Text"/>
        <w:spacing w:before="120" w:after="120" w:line="288" w:lineRule="auto"/>
        <w:jc w:val="center"/>
      </w:pPr>
      <w:r w:rsidRPr="004F7D9F">
        <w:t>A limited number of</w:t>
      </w:r>
      <w:r>
        <w:t xml:space="preserve"> </w:t>
      </w:r>
      <w:r w:rsidRPr="004F7D9F">
        <w:t>potential suppliers are</w:t>
      </w:r>
      <w:r>
        <w:t xml:space="preserve"> </w:t>
      </w:r>
      <w:r w:rsidRPr="004F7D9F">
        <w:t>directly invited to</w:t>
      </w:r>
      <w:r>
        <w:t xml:space="preserve"> </w:t>
      </w:r>
      <w:r w:rsidRPr="004F7D9F">
        <w:t>respond</w:t>
      </w:r>
      <w:r w:rsidR="00580E01">
        <w:t>.</w:t>
      </w:r>
    </w:p>
    <w:p w14:paraId="6F6911F9" w14:textId="77777777" w:rsidR="002A4DA9" w:rsidRPr="00605C4E" w:rsidRDefault="002A4DA9" w:rsidP="005A3941">
      <w:pPr>
        <w:spacing w:before="120" w:after="120" w:line="312" w:lineRule="auto"/>
        <w:rPr>
          <w:rFonts w:ascii="Calibri" w:eastAsia="Times New Roman" w:hAnsi="Calibri" w:cs="Calibri"/>
          <w:lang w:eastAsia="en-AU"/>
        </w:rPr>
      </w:pPr>
    </w:p>
    <w:p w14:paraId="288C0903" w14:textId="77777777" w:rsidR="005A3941" w:rsidRPr="00E91C31" w:rsidRDefault="005A3941" w:rsidP="00681ED5">
      <w:pPr>
        <w:spacing w:before="120" w:after="120" w:line="288" w:lineRule="auto"/>
        <w:rPr>
          <w:rFonts w:eastAsia="Calibri" w:cstheme="minorHAnsi"/>
        </w:rPr>
      </w:pPr>
      <w:r w:rsidRPr="00E91C31">
        <w:rPr>
          <w:rFonts w:eastAsia="Calibri" w:cstheme="minorHAnsi"/>
          <w:b/>
          <w:bCs/>
          <w:lang w:eastAsia="en-AU"/>
        </w:rPr>
        <w:t>Limited tender</w:t>
      </w:r>
      <w:r w:rsidRPr="00E91C31">
        <w:rPr>
          <w:rFonts w:eastAsia="Calibri" w:cstheme="minorHAnsi"/>
          <w:lang w:eastAsia="en-AU"/>
        </w:rPr>
        <w:t> involves approaching one or more potential suppliers to make submissions, when the process does not meet the rules for open tender. O</w:t>
      </w:r>
      <w:r w:rsidRPr="00E91C31">
        <w:rPr>
          <w:rFonts w:eastAsia="Calibri" w:cstheme="minorHAnsi"/>
        </w:rPr>
        <w:t>nly the suppliers that are approached can respond, it is not open to all suppliers. Limited tender is permitted for:</w:t>
      </w:r>
    </w:p>
    <w:p w14:paraId="1F4272E9" w14:textId="313EE98D" w:rsidR="005A3941" w:rsidRPr="00E91C31" w:rsidRDefault="00580E01" w:rsidP="00681ED5">
      <w:pPr>
        <w:numPr>
          <w:ilvl w:val="0"/>
          <w:numId w:val="22"/>
        </w:numPr>
        <w:suppressAutoHyphens w:val="0"/>
        <w:spacing w:before="120" w:after="120" w:line="288" w:lineRule="auto"/>
        <w:rPr>
          <w:rFonts w:eastAsia="Calibri" w:cstheme="minorHAnsi"/>
        </w:rPr>
      </w:pPr>
      <w:r>
        <w:rPr>
          <w:rFonts w:eastAsia="Calibri" w:cstheme="minorHAnsi"/>
        </w:rPr>
        <w:t>p</w:t>
      </w:r>
      <w:r w:rsidR="005A3941" w:rsidRPr="00E91C31">
        <w:rPr>
          <w:rFonts w:eastAsia="Calibri" w:cstheme="minorHAnsi"/>
        </w:rPr>
        <w:t>urchases that are below open tender expected values</w:t>
      </w:r>
    </w:p>
    <w:p w14:paraId="533F1EAC" w14:textId="7586524F" w:rsidR="005A3941" w:rsidRPr="00E91C31" w:rsidRDefault="00580E01" w:rsidP="00681ED5">
      <w:pPr>
        <w:numPr>
          <w:ilvl w:val="0"/>
          <w:numId w:val="22"/>
        </w:numPr>
        <w:suppressAutoHyphens w:val="0"/>
        <w:spacing w:before="120" w:after="120" w:line="288" w:lineRule="auto"/>
        <w:rPr>
          <w:rFonts w:eastAsia="Times New Roman" w:cstheme="minorHAnsi"/>
          <w:lang w:eastAsia="en-AU"/>
        </w:rPr>
      </w:pPr>
      <w:r>
        <w:rPr>
          <w:rFonts w:eastAsia="Calibri" w:cstheme="minorHAnsi"/>
        </w:rPr>
        <w:t>p</w:t>
      </w:r>
      <w:r w:rsidR="005A3941" w:rsidRPr="00E91C31">
        <w:rPr>
          <w:rFonts w:eastAsia="Times New Roman" w:cstheme="minorHAnsi"/>
          <w:lang w:eastAsia="en-AU"/>
        </w:rPr>
        <w:t>urchases under specific conditions or exemptions as permitted by in the Commonwealth Procurement Rules (CPRs).</w:t>
      </w:r>
    </w:p>
    <w:p w14:paraId="67A71387" w14:textId="37889802" w:rsidR="009C0FEE" w:rsidRPr="00E91C31" w:rsidRDefault="005A3941" w:rsidP="00681ED5">
      <w:pPr>
        <w:spacing w:before="120" w:after="120" w:line="288" w:lineRule="auto"/>
        <w:rPr>
          <w:rFonts w:cstheme="minorHAnsi"/>
        </w:rPr>
      </w:pPr>
      <w:r w:rsidRPr="00E91C31">
        <w:rPr>
          <w:rFonts w:eastAsia="Calibri" w:cstheme="minorHAnsi"/>
        </w:rPr>
        <w:t>Finance strongly encourages organisations to use open tendering by default. This maximises competition and gives more businesses an opportunity to participate.</w:t>
      </w:r>
    </w:p>
    <w:p w14:paraId="0FA50267" w14:textId="481BDDC6" w:rsidR="009C0FEE" w:rsidRPr="009A4288" w:rsidRDefault="009C0FEE" w:rsidP="009A4288">
      <w:pPr>
        <w:pStyle w:val="Heading1"/>
      </w:pPr>
      <w:bookmarkStart w:id="8" w:name="_Toc201582891"/>
      <w:r w:rsidRPr="009A4288">
        <w:lastRenderedPageBreak/>
        <w:t>Standing offer (panel)</w:t>
      </w:r>
      <w:bookmarkEnd w:id="8"/>
    </w:p>
    <w:p w14:paraId="7B71931E" w14:textId="221AC566" w:rsidR="00CA7A51" w:rsidRDefault="005E01D7" w:rsidP="00681ED5">
      <w:pPr>
        <w:spacing w:before="120" w:after="120" w:line="288" w:lineRule="auto"/>
      </w:pPr>
      <w:r>
        <w:t>A standing offer is a</w:t>
      </w:r>
      <w:r w:rsidR="00CA7A51" w:rsidRPr="00CA7A51">
        <w:t xml:space="preserve">n arrangement with an Australian Government organisation, or group of Australian Government organisations, that sets out the </w:t>
      </w:r>
      <w:r w:rsidR="00CA7A51" w:rsidRPr="00CA7A51">
        <w:rPr>
          <w:b/>
          <w:bCs/>
        </w:rPr>
        <w:t xml:space="preserve">terms and conditions </w:t>
      </w:r>
      <w:r w:rsidR="00CA7A51" w:rsidRPr="00CA7A51">
        <w:t xml:space="preserve">under which a supplier agrees to provide a range of </w:t>
      </w:r>
      <w:r w:rsidR="00CA7A51" w:rsidRPr="00CA7A51">
        <w:rPr>
          <w:b/>
          <w:bCs/>
        </w:rPr>
        <w:t xml:space="preserve">goods or services </w:t>
      </w:r>
      <w:r w:rsidR="00CA7A51" w:rsidRPr="00CA7A51">
        <w:t>for a specified period.</w:t>
      </w:r>
    </w:p>
    <w:p w14:paraId="44EAD2E9" w14:textId="77777777" w:rsidR="00DF5338" w:rsidRDefault="00DF5338" w:rsidP="00681ED5">
      <w:pPr>
        <w:spacing w:before="120" w:after="120" w:line="288" w:lineRule="auto"/>
      </w:pPr>
    </w:p>
    <w:p w14:paraId="7167618C" w14:textId="3B24653C" w:rsidR="00CA7A51" w:rsidRPr="00CA7A51" w:rsidRDefault="00CA7A51" w:rsidP="00681ED5">
      <w:pPr>
        <w:pStyle w:val="Boxed1Text"/>
        <w:spacing w:before="120" w:after="120" w:line="288" w:lineRule="auto"/>
      </w:pPr>
      <w:r w:rsidRPr="00CA7A51">
        <w:t>A standing offer arrangement with multiple suppliers is commonly known as a panel.</w:t>
      </w:r>
    </w:p>
    <w:p w14:paraId="23ED9F63" w14:textId="77777777" w:rsidR="00E91C31" w:rsidRDefault="00E91C31" w:rsidP="00E91C31">
      <w:pPr>
        <w:spacing w:before="120" w:after="120" w:line="288" w:lineRule="auto"/>
        <w:rPr>
          <w:rFonts w:ascii="Calibri" w:eastAsia="Calibri" w:hAnsi="Calibri" w:cs="Times New Roman"/>
        </w:rPr>
      </w:pPr>
    </w:p>
    <w:p w14:paraId="3BEAFB2F" w14:textId="717EAE32" w:rsidR="00E91C31" w:rsidRPr="00E91C31" w:rsidRDefault="00E91C31" w:rsidP="00681ED5">
      <w:pPr>
        <w:spacing w:before="120" w:after="120" w:line="288" w:lineRule="auto"/>
        <w:rPr>
          <w:rFonts w:ascii="Arial" w:eastAsia="Calibri" w:hAnsi="Arial" w:cs="Arial"/>
        </w:rPr>
      </w:pPr>
      <w:r w:rsidRPr="00E91C31">
        <w:rPr>
          <w:rFonts w:ascii="Arial" w:eastAsia="Calibri" w:hAnsi="Arial" w:cs="Arial"/>
        </w:rPr>
        <w:t>Potential suppliers submit a response to an approach to market and indicate their willingness and ability to supply the goods or services at a particular rate and / or cost. Potential suppliers that demonstrate value for money in their response are invited to enter a ‘deed of standing offer’ with the Australian Government organisation.</w:t>
      </w:r>
    </w:p>
    <w:p w14:paraId="40B31E07" w14:textId="77777777" w:rsidR="00E91C31" w:rsidRPr="00E91C31" w:rsidRDefault="00E91C31" w:rsidP="00681ED5">
      <w:pPr>
        <w:spacing w:before="120" w:after="120" w:line="288" w:lineRule="auto"/>
        <w:rPr>
          <w:rFonts w:ascii="Arial" w:eastAsia="Calibri" w:hAnsi="Arial" w:cs="Arial"/>
        </w:rPr>
      </w:pPr>
      <w:r w:rsidRPr="00E91C31">
        <w:rPr>
          <w:rFonts w:ascii="Arial" w:eastAsia="Calibri" w:hAnsi="Arial" w:cs="Arial"/>
        </w:rPr>
        <w:t xml:space="preserve">Where there are multiple suppliers appointed under a standing offer arrangement, it is commonly called a </w:t>
      </w:r>
      <w:r w:rsidRPr="00E91C31">
        <w:rPr>
          <w:rFonts w:ascii="Arial" w:eastAsia="Calibri" w:hAnsi="Arial" w:cs="Arial"/>
          <w:b/>
          <w:bCs/>
        </w:rPr>
        <w:t>‘panel’</w:t>
      </w:r>
      <w:r w:rsidRPr="00E91C31">
        <w:rPr>
          <w:rFonts w:ascii="Arial" w:eastAsia="Calibri" w:hAnsi="Arial" w:cs="Arial"/>
        </w:rPr>
        <w:t>. Generally, the ‘deed of standing offer’ will be the same for each supplier on the panel.</w:t>
      </w:r>
    </w:p>
    <w:p w14:paraId="3293D839" w14:textId="77777777" w:rsidR="00E91C31" w:rsidRPr="00E91C31" w:rsidRDefault="00E91C31" w:rsidP="00681ED5">
      <w:pPr>
        <w:spacing w:before="120" w:after="120" w:line="288" w:lineRule="auto"/>
        <w:rPr>
          <w:rFonts w:ascii="Arial" w:eastAsia="Calibri" w:hAnsi="Arial" w:cs="Arial"/>
        </w:rPr>
      </w:pPr>
      <w:r w:rsidRPr="00E91C31">
        <w:rPr>
          <w:rFonts w:ascii="Arial" w:eastAsia="Calibri" w:hAnsi="Arial" w:cs="Arial"/>
        </w:rPr>
        <w:t>Once a panel has been established, the organisation can seek quotes to obtain goods or services covered by that panel.</w:t>
      </w:r>
    </w:p>
    <w:p w14:paraId="6CDAC8D6" w14:textId="77777777" w:rsidR="00E91C31" w:rsidRPr="00E91C31" w:rsidRDefault="00E91C31" w:rsidP="00681ED5">
      <w:pPr>
        <w:spacing w:before="120" w:after="120" w:line="288" w:lineRule="auto"/>
        <w:rPr>
          <w:rFonts w:ascii="Arial" w:eastAsia="Calibri" w:hAnsi="Arial" w:cs="Arial"/>
        </w:rPr>
      </w:pPr>
      <w:r w:rsidRPr="00E91C31">
        <w:rPr>
          <w:rFonts w:ascii="Arial" w:eastAsia="Calibri" w:hAnsi="Arial" w:cs="Arial"/>
        </w:rPr>
        <w:t>When procuring from a panel or standing offer arrangement, organisations are encouraged to approach multiple businesses that are appointed to that standing offer.</w:t>
      </w:r>
    </w:p>
    <w:p w14:paraId="5C002020" w14:textId="2057BA8C" w:rsidR="000D4292" w:rsidRDefault="00E91C31" w:rsidP="00681ED5">
      <w:pPr>
        <w:spacing w:before="120" w:after="120" w:line="288" w:lineRule="auto"/>
        <w:rPr>
          <w:rFonts w:ascii="Arial" w:hAnsi="Arial" w:cs="Arial"/>
        </w:rPr>
      </w:pPr>
      <w:r w:rsidRPr="00E91C31">
        <w:rPr>
          <w:rFonts w:ascii="Arial" w:eastAsia="Calibri" w:hAnsi="Arial" w:cs="Arial"/>
          <w:b/>
          <w:bCs/>
        </w:rPr>
        <w:t>Link</w:t>
      </w:r>
      <w:r w:rsidRPr="00E91C31">
        <w:rPr>
          <w:rFonts w:ascii="Arial" w:eastAsia="Calibri" w:hAnsi="Arial" w:cs="Arial"/>
        </w:rPr>
        <w:t xml:space="preserve">: </w:t>
      </w:r>
      <w:hyperlink r:id="rId19" w:history="1">
        <w:r w:rsidRPr="00E91C31">
          <w:rPr>
            <w:rFonts w:ascii="Arial" w:eastAsia="Calibri" w:hAnsi="Arial" w:cs="Arial"/>
            <w:color w:val="0563C1"/>
            <w:u w:val="single"/>
          </w:rPr>
          <w:t>Understanding panel arrangements | Selling to Government</w:t>
        </w:r>
      </w:hyperlink>
    </w:p>
    <w:p w14:paraId="4D50DE47" w14:textId="77777777" w:rsidR="00E91C31" w:rsidRPr="00E91C31" w:rsidRDefault="00E91C31" w:rsidP="00E91C31">
      <w:pPr>
        <w:spacing w:after="360"/>
        <w:rPr>
          <w:rFonts w:ascii="Arial" w:hAnsi="Arial" w:cs="Arial"/>
        </w:rPr>
      </w:pPr>
    </w:p>
    <w:p w14:paraId="0BDD501B" w14:textId="77366426" w:rsidR="000D4292" w:rsidRPr="009A4288" w:rsidRDefault="000D4292" w:rsidP="009A4288">
      <w:pPr>
        <w:pStyle w:val="Heading1"/>
      </w:pPr>
      <w:bookmarkStart w:id="9" w:name="_Toc201582892"/>
      <w:r w:rsidRPr="009A4288">
        <w:t>Whole of Australian Government Arrangements</w:t>
      </w:r>
      <w:bookmarkEnd w:id="9"/>
    </w:p>
    <w:p w14:paraId="1BEB1849" w14:textId="77777777" w:rsidR="000F7B3D" w:rsidRPr="000F7B3D" w:rsidRDefault="000F7B3D" w:rsidP="00681ED5">
      <w:pPr>
        <w:spacing w:before="120" w:after="120" w:line="288" w:lineRule="auto"/>
        <w:rPr>
          <w:rFonts w:eastAsia="Times New Roman" w:cstheme="minorHAnsi"/>
          <w:lang w:eastAsia="en-AU"/>
        </w:rPr>
      </w:pPr>
      <w:r w:rsidRPr="000F7B3D">
        <w:rPr>
          <w:rFonts w:eastAsia="Times New Roman" w:cstheme="minorHAnsi"/>
          <w:lang w:eastAsia="en-AU"/>
        </w:rPr>
        <w:t>When considering what procurement method is most appropriate, government organisations must first determine whether the goods or services they are looking to procure are subject to a Whole of Australian Government Arrangement.</w:t>
      </w:r>
    </w:p>
    <w:p w14:paraId="250F6A4F" w14:textId="7C55661A" w:rsidR="000F7B3D" w:rsidRPr="000F7B3D" w:rsidRDefault="000F7B3D" w:rsidP="00681ED5">
      <w:pPr>
        <w:spacing w:before="120" w:after="120" w:line="288" w:lineRule="auto"/>
        <w:textAlignment w:val="baseline"/>
        <w:rPr>
          <w:rFonts w:eastAsia="Calibri" w:cstheme="minorHAnsi"/>
          <w:lang w:eastAsia="en-AU"/>
        </w:rPr>
      </w:pPr>
      <w:r w:rsidRPr="000F7B3D">
        <w:rPr>
          <w:rFonts w:eastAsia="Times New Roman" w:cstheme="minorHAnsi"/>
          <w:lang w:eastAsia="en-AU"/>
        </w:rPr>
        <w:t>Whole of Australian Government (WoAG) Arrangements are set up for Australian Government organisations to use when procuring certain types of goods or services. These are established by either coordinated or cooperative procurements and are intended to ensure more efficient processes to deliver better prices, service, and quality for the Australian Government.</w:t>
      </w:r>
    </w:p>
    <w:p w14:paraId="104F6CA7" w14:textId="0E139D0F" w:rsidR="008652F5" w:rsidRDefault="000D4292" w:rsidP="008652F5">
      <w:r w:rsidRPr="000D4292">
        <w:t xml:space="preserve"> </w:t>
      </w:r>
    </w:p>
    <w:p w14:paraId="08DE9A4B" w14:textId="49C389EE" w:rsidR="008652F5" w:rsidRPr="000D4292" w:rsidRDefault="008652F5" w:rsidP="00681ED5">
      <w:pPr>
        <w:pStyle w:val="Boxed3Text"/>
        <w:spacing w:before="120" w:after="120" w:line="288" w:lineRule="auto"/>
        <w:jc w:val="center"/>
      </w:pPr>
      <w:r w:rsidRPr="008652F5">
        <w:t>Coordinated procurement arrangements offer increased transparency, standard terms and conditions and contract management benefits for government and suppliers.</w:t>
      </w:r>
    </w:p>
    <w:p w14:paraId="0CEB2A26" w14:textId="77777777" w:rsidR="00681ED5" w:rsidRDefault="00681ED5" w:rsidP="00F12437">
      <w:pPr>
        <w:spacing w:before="120" w:after="120" w:line="312" w:lineRule="auto"/>
        <w:textAlignment w:val="baseline"/>
        <w:rPr>
          <w:rFonts w:eastAsia="Calibri" w:cstheme="minorHAnsi"/>
          <w:b/>
          <w:bCs/>
          <w:lang w:eastAsia="en-AU"/>
        </w:rPr>
      </w:pPr>
    </w:p>
    <w:p w14:paraId="3A49DA03" w14:textId="44B91F1B" w:rsidR="00F12437" w:rsidRPr="00D1210C" w:rsidRDefault="00F12437" w:rsidP="00681ED5">
      <w:pPr>
        <w:spacing w:before="120" w:after="120" w:line="288" w:lineRule="auto"/>
        <w:textAlignment w:val="baseline"/>
        <w:rPr>
          <w:rFonts w:eastAsia="Calibri" w:cstheme="minorHAnsi"/>
          <w:lang w:eastAsia="en-AU"/>
        </w:rPr>
      </w:pPr>
      <w:r w:rsidRPr="00D1210C">
        <w:rPr>
          <w:rFonts w:eastAsia="Calibri" w:cstheme="minorHAnsi"/>
          <w:b/>
          <w:bCs/>
          <w:lang w:eastAsia="en-AU"/>
        </w:rPr>
        <w:lastRenderedPageBreak/>
        <w:t>Coordinated arrangements</w:t>
      </w:r>
      <w:r w:rsidRPr="00D1210C">
        <w:rPr>
          <w:rFonts w:eastAsia="Calibri" w:cstheme="minorHAnsi"/>
          <w:lang w:eastAsia="en-AU"/>
        </w:rPr>
        <w:t xml:space="preserve"> are for goods and services commonly used by the Australian Government and are mandatory for most government organisations to use. These arrangements cover various types of goods and services including, but not limited to, travel and accommodation, stationery and office supplies, legal services, management advisory services, and ICT. A list of current WoAG coordinated arrangements is available on the Finance website.</w:t>
      </w:r>
    </w:p>
    <w:p w14:paraId="75391151" w14:textId="77777777" w:rsidR="006F0785" w:rsidRPr="00D1210C" w:rsidRDefault="006F0785" w:rsidP="00681ED5">
      <w:pPr>
        <w:spacing w:before="120" w:after="120" w:line="288" w:lineRule="auto"/>
        <w:textAlignment w:val="baseline"/>
        <w:rPr>
          <w:rFonts w:eastAsia="Calibri" w:cstheme="minorHAnsi"/>
          <w:lang w:eastAsia="en-AU"/>
        </w:rPr>
      </w:pPr>
      <w:r w:rsidRPr="00D1210C">
        <w:rPr>
          <w:rFonts w:eastAsia="Calibri" w:cstheme="minorHAnsi"/>
          <w:b/>
          <w:bCs/>
          <w:lang w:eastAsia="en-AU"/>
        </w:rPr>
        <w:t>Cooperative arrangements</w:t>
      </w:r>
      <w:r w:rsidRPr="00D1210C">
        <w:rPr>
          <w:rFonts w:eastAsia="Calibri" w:cstheme="minorHAnsi"/>
          <w:lang w:eastAsia="en-AU"/>
        </w:rPr>
        <w:t xml:space="preserve"> are optional for use and occur where multiple organisations agree to purchase similar goods or services cooperatively. These generally result in standing offer (panel) arrangements. The search functionality on AusTender can help you identify existing cooperative arrangements – use the ‘multi-agency access’ search functionality.</w:t>
      </w:r>
    </w:p>
    <w:p w14:paraId="17A6916A" w14:textId="295A3AE7" w:rsidR="000D4292" w:rsidRPr="00D1210C" w:rsidRDefault="006F0785" w:rsidP="00681ED5">
      <w:pPr>
        <w:spacing w:before="120" w:after="120" w:line="288" w:lineRule="auto"/>
        <w:rPr>
          <w:rFonts w:cstheme="minorHAnsi"/>
        </w:rPr>
      </w:pPr>
      <w:r w:rsidRPr="00D1210C">
        <w:rPr>
          <w:rFonts w:eastAsia="Calibri" w:cstheme="minorHAnsi"/>
          <w:lang w:eastAsia="en-AU"/>
        </w:rPr>
        <w:t xml:space="preserve">Link: </w:t>
      </w:r>
      <w:hyperlink r:id="rId20" w:history="1">
        <w:r w:rsidRPr="00D1210C">
          <w:rPr>
            <w:rFonts w:eastAsia="Calibri" w:cstheme="minorHAnsi"/>
            <w:color w:val="0563C1"/>
            <w:u w:val="single"/>
            <w:lang w:eastAsia="en-AU"/>
          </w:rPr>
          <w:t>Understanding panel arrangements | Selling to Government</w:t>
        </w:r>
      </w:hyperlink>
    </w:p>
    <w:p w14:paraId="7FFBCD79" w14:textId="77777777" w:rsidR="000D4292" w:rsidRPr="000D4292" w:rsidRDefault="000D4292" w:rsidP="000D4292"/>
    <w:p w14:paraId="442D29DB" w14:textId="163809BB" w:rsidR="008652F5" w:rsidRPr="009A4288" w:rsidRDefault="008652F5" w:rsidP="009A4288">
      <w:pPr>
        <w:pStyle w:val="Heading1"/>
      </w:pPr>
      <w:bookmarkStart w:id="10" w:name="_Toc201582893"/>
      <w:r w:rsidRPr="009A4288">
        <w:t>Where to find Procurement Opportunities</w:t>
      </w:r>
      <w:bookmarkEnd w:id="10"/>
    </w:p>
    <w:p w14:paraId="538EAC79" w14:textId="77777777" w:rsidR="00D12B04" w:rsidRPr="00EC1456" w:rsidRDefault="00D12B04" w:rsidP="00681ED5">
      <w:pPr>
        <w:spacing w:before="120" w:after="120" w:line="288" w:lineRule="auto"/>
        <w:textAlignment w:val="baseline"/>
        <w:rPr>
          <w:rFonts w:eastAsia="Times New Roman" w:cstheme="minorHAnsi"/>
          <w:lang w:eastAsia="en-AU"/>
        </w:rPr>
      </w:pPr>
      <w:r w:rsidRPr="00EC1456">
        <w:rPr>
          <w:rFonts w:eastAsia="Times New Roman" w:cstheme="minorHAnsi"/>
          <w:lang w:eastAsia="en-AU"/>
        </w:rPr>
        <w:t xml:space="preserve">As WoAG arrangements are generally panels with a large number of participating suppliers, these arrangements provide a good opportunity for businesses to be approached by Australian Government organisations for work.  </w:t>
      </w:r>
    </w:p>
    <w:p w14:paraId="237B9086" w14:textId="77777777" w:rsidR="00D12B04" w:rsidRPr="00EC1456" w:rsidRDefault="00D12B04" w:rsidP="00681ED5">
      <w:pPr>
        <w:spacing w:before="120" w:after="120" w:line="288" w:lineRule="auto"/>
        <w:textAlignment w:val="baseline"/>
        <w:rPr>
          <w:rFonts w:eastAsia="Times New Roman" w:cstheme="minorHAnsi"/>
          <w:lang w:eastAsia="en-AU"/>
        </w:rPr>
      </w:pPr>
      <w:r w:rsidRPr="00EC1456">
        <w:rPr>
          <w:rFonts w:eastAsia="Times New Roman" w:cstheme="minorHAnsi"/>
          <w:lang w:eastAsia="en-AU"/>
        </w:rPr>
        <w:t xml:space="preserve">To ensure you are aware of any new and upcoming WoAG arrangements, including refresh opportunities, we strongly encourage you to register on AusTender and review Annual Procurement Plans. </w:t>
      </w:r>
    </w:p>
    <w:p w14:paraId="5664341A" w14:textId="77777777" w:rsidR="00D12B04" w:rsidRPr="00EC1456" w:rsidRDefault="00D12B04" w:rsidP="00681ED5">
      <w:pPr>
        <w:spacing w:before="120" w:after="120" w:line="288" w:lineRule="auto"/>
        <w:textAlignment w:val="baseline"/>
        <w:rPr>
          <w:rFonts w:eastAsia="Times New Roman" w:cstheme="minorHAnsi"/>
          <w:lang w:eastAsia="en-AU"/>
        </w:rPr>
      </w:pPr>
      <w:r w:rsidRPr="00EC1456">
        <w:rPr>
          <w:rFonts w:eastAsia="Times New Roman" w:cstheme="minorHAnsi"/>
          <w:lang w:eastAsia="en-AU"/>
        </w:rPr>
        <w:t>Annual Procurement Plans include information about upcoming planned procurements over the next 12 months for that organisation, including the subject matter of the procurement, the estimated financial year quarter of the approach to market (ATM), whether the procurement will potentially allow multi-organisation access, and the goods and services category code.</w:t>
      </w:r>
    </w:p>
    <w:p w14:paraId="5D2FB7F7" w14:textId="77777777" w:rsidR="00D12B04" w:rsidRPr="00EC1456" w:rsidRDefault="00D12B04" w:rsidP="00681ED5">
      <w:pPr>
        <w:spacing w:before="120" w:after="120" w:line="288" w:lineRule="auto"/>
        <w:textAlignment w:val="baseline"/>
        <w:rPr>
          <w:rFonts w:eastAsia="Times New Roman" w:cstheme="minorHAnsi"/>
          <w:lang w:eastAsia="en-AU"/>
        </w:rPr>
      </w:pPr>
      <w:r w:rsidRPr="00EC1456">
        <w:rPr>
          <w:rFonts w:eastAsia="Times New Roman" w:cstheme="minorHAnsi"/>
          <w:lang w:eastAsia="en-AU"/>
        </w:rPr>
        <w:t>For example, the Department of Finance publishes planned procurement details for the WoAG arrangements it manages, including the Management Advisory Services Panel and People Panel. To ensure you are notified of any updates for planned procurements, you can ‘watch’ opportunities by clicking the star icon in the Annual Procurement Plan.</w:t>
      </w:r>
    </w:p>
    <w:p w14:paraId="20AC0466" w14:textId="0AB15580" w:rsidR="00356068" w:rsidRPr="00EC1456" w:rsidRDefault="00D12B04" w:rsidP="00681ED5">
      <w:pPr>
        <w:spacing w:before="120" w:after="120" w:line="288" w:lineRule="auto"/>
        <w:rPr>
          <w:rFonts w:cstheme="minorHAnsi"/>
        </w:rPr>
      </w:pPr>
      <w:r w:rsidRPr="00EC1456">
        <w:rPr>
          <w:rFonts w:eastAsia="Times New Roman" w:cstheme="minorHAnsi"/>
          <w:lang w:eastAsia="en-AU"/>
        </w:rPr>
        <w:t xml:space="preserve">New Panels and WoAG arrangements, including refreshes, are normally established by an open tender Approach to Market. If your response to the ATM is considered to represent value for money, your business may be invited to enter into a deed of standing offer, and be appointed to the panel.  </w:t>
      </w:r>
    </w:p>
    <w:p w14:paraId="023172EF" w14:textId="77777777" w:rsidR="00356068" w:rsidRPr="00356068" w:rsidRDefault="00356068" w:rsidP="00681ED5">
      <w:pPr>
        <w:spacing w:before="120" w:after="120" w:line="288" w:lineRule="auto"/>
      </w:pPr>
      <w:r w:rsidRPr="00356068">
        <w:rPr>
          <w:b/>
          <w:bCs/>
        </w:rPr>
        <w:t>AusTender</w:t>
      </w:r>
    </w:p>
    <w:p w14:paraId="3E12DEF1" w14:textId="77777777" w:rsidR="00356068" w:rsidRPr="00356068" w:rsidRDefault="00356068" w:rsidP="00681ED5">
      <w:pPr>
        <w:spacing w:before="120" w:after="120" w:line="288" w:lineRule="auto"/>
      </w:pPr>
      <w:r w:rsidRPr="00356068">
        <w:t xml:space="preserve">The Australian Government publishes </w:t>
      </w:r>
      <w:r w:rsidRPr="00356068">
        <w:rPr>
          <w:b/>
          <w:bCs/>
        </w:rPr>
        <w:t xml:space="preserve">WoAG procurement opportunities </w:t>
      </w:r>
      <w:r w:rsidRPr="00356068">
        <w:t xml:space="preserve">and </w:t>
      </w:r>
      <w:r w:rsidRPr="00356068">
        <w:rPr>
          <w:b/>
          <w:bCs/>
        </w:rPr>
        <w:t xml:space="preserve">notices </w:t>
      </w:r>
      <w:r w:rsidRPr="00356068">
        <w:t xml:space="preserve">of standing offers and successful contracts, valued at or above $10,000, on AusTender. </w:t>
      </w:r>
    </w:p>
    <w:p w14:paraId="74FF8C28" w14:textId="77777777" w:rsidR="00356068" w:rsidRPr="00356068" w:rsidRDefault="00356068" w:rsidP="00681ED5">
      <w:pPr>
        <w:numPr>
          <w:ilvl w:val="2"/>
          <w:numId w:val="10"/>
        </w:numPr>
        <w:spacing w:before="120" w:after="120" w:line="288" w:lineRule="auto"/>
      </w:pPr>
      <w:r w:rsidRPr="00356068">
        <w:t xml:space="preserve">Register for free </w:t>
      </w:r>
    </w:p>
    <w:p w14:paraId="0AB0CBC0" w14:textId="77777777" w:rsidR="00356068" w:rsidRPr="00356068" w:rsidRDefault="00356068" w:rsidP="00681ED5">
      <w:pPr>
        <w:numPr>
          <w:ilvl w:val="2"/>
          <w:numId w:val="10"/>
        </w:numPr>
        <w:spacing w:before="120" w:after="120" w:line="288" w:lineRule="auto"/>
      </w:pPr>
      <w:r w:rsidRPr="00356068">
        <w:t>Receive information about new procurement opportunities</w:t>
      </w:r>
    </w:p>
    <w:p w14:paraId="3B8549E9" w14:textId="77777777" w:rsidR="00356068" w:rsidRPr="00356068" w:rsidRDefault="00356068" w:rsidP="00681ED5">
      <w:pPr>
        <w:numPr>
          <w:ilvl w:val="2"/>
          <w:numId w:val="10"/>
        </w:numPr>
        <w:spacing w:before="120" w:after="120" w:line="288" w:lineRule="auto"/>
      </w:pPr>
      <w:r w:rsidRPr="00356068">
        <w:t>Review annual procurement plans</w:t>
      </w:r>
    </w:p>
    <w:p w14:paraId="03713C3A" w14:textId="77777777" w:rsidR="00356068" w:rsidRPr="00356068" w:rsidRDefault="00356068" w:rsidP="00681ED5">
      <w:pPr>
        <w:numPr>
          <w:ilvl w:val="2"/>
          <w:numId w:val="10"/>
        </w:numPr>
        <w:spacing w:before="120" w:after="120" w:line="288" w:lineRule="auto"/>
      </w:pPr>
      <w:r w:rsidRPr="00356068">
        <w:t>Watch planned procurements</w:t>
      </w:r>
    </w:p>
    <w:p w14:paraId="2A20229C" w14:textId="77777777" w:rsidR="00356068" w:rsidRDefault="00356068" w:rsidP="00681ED5">
      <w:pPr>
        <w:numPr>
          <w:ilvl w:val="2"/>
          <w:numId w:val="10"/>
        </w:numPr>
        <w:spacing w:before="120" w:after="120" w:line="288" w:lineRule="auto"/>
      </w:pPr>
      <w:r w:rsidRPr="00356068">
        <w:t>Look for refresh opportunities</w:t>
      </w:r>
    </w:p>
    <w:p w14:paraId="5583A9EC" w14:textId="54DB05B0" w:rsidR="00056580" w:rsidRPr="009A4288" w:rsidRDefault="00056580" w:rsidP="009A4288">
      <w:pPr>
        <w:pStyle w:val="Heading1"/>
      </w:pPr>
      <w:bookmarkStart w:id="11" w:name="_Toc201582894"/>
      <w:r w:rsidRPr="009A4288">
        <w:lastRenderedPageBreak/>
        <w:t>Approach to Market (ATM)</w:t>
      </w:r>
      <w:bookmarkEnd w:id="11"/>
    </w:p>
    <w:p w14:paraId="20A659D5" w14:textId="6D755639" w:rsidR="0061078E" w:rsidRPr="0061078E" w:rsidRDefault="009A0FA5" w:rsidP="00681ED5">
      <w:pPr>
        <w:spacing w:before="120" w:after="120" w:line="288" w:lineRule="auto"/>
      </w:pPr>
      <w:r>
        <w:t>An Approach to Market (ATM) is a</w:t>
      </w:r>
      <w:r w:rsidR="0061078E" w:rsidRPr="0061078E">
        <w:t xml:space="preserve"> </w:t>
      </w:r>
      <w:r w:rsidR="0061078E" w:rsidRPr="0061078E">
        <w:rPr>
          <w:b/>
          <w:bCs/>
        </w:rPr>
        <w:t xml:space="preserve">notice inviting potential suppliers </w:t>
      </w:r>
      <w:r w:rsidR="0061078E" w:rsidRPr="0061078E">
        <w:t>to participate in a procurement including, but not limited to:</w:t>
      </w:r>
    </w:p>
    <w:p w14:paraId="28D103BE" w14:textId="77777777" w:rsidR="0061078E" w:rsidRPr="0061078E" w:rsidRDefault="0061078E" w:rsidP="00681ED5">
      <w:pPr>
        <w:numPr>
          <w:ilvl w:val="1"/>
          <w:numId w:val="11"/>
        </w:numPr>
        <w:spacing w:before="120" w:after="120" w:line="288" w:lineRule="auto"/>
      </w:pPr>
      <w:r w:rsidRPr="0061078E">
        <w:t>a request for tender</w:t>
      </w:r>
    </w:p>
    <w:p w14:paraId="75894ECF" w14:textId="77777777" w:rsidR="0061078E" w:rsidRPr="0061078E" w:rsidRDefault="0061078E" w:rsidP="00681ED5">
      <w:pPr>
        <w:numPr>
          <w:ilvl w:val="1"/>
          <w:numId w:val="11"/>
        </w:numPr>
        <w:spacing w:before="120" w:after="120" w:line="288" w:lineRule="auto"/>
      </w:pPr>
      <w:r w:rsidRPr="0061078E">
        <w:t>a request for quote</w:t>
      </w:r>
    </w:p>
    <w:p w14:paraId="2FA163A5" w14:textId="77777777" w:rsidR="0061078E" w:rsidRPr="0061078E" w:rsidRDefault="0061078E" w:rsidP="00681ED5">
      <w:pPr>
        <w:numPr>
          <w:ilvl w:val="1"/>
          <w:numId w:val="11"/>
        </w:numPr>
        <w:spacing w:before="120" w:after="120" w:line="288" w:lineRule="auto"/>
      </w:pPr>
      <w:r w:rsidRPr="0061078E">
        <w:t>expression of interest</w:t>
      </w:r>
    </w:p>
    <w:p w14:paraId="5D7881F0" w14:textId="77777777" w:rsidR="0061078E" w:rsidRPr="0061078E" w:rsidRDefault="0061078E" w:rsidP="00681ED5">
      <w:pPr>
        <w:numPr>
          <w:ilvl w:val="1"/>
          <w:numId w:val="11"/>
        </w:numPr>
        <w:spacing w:before="120" w:after="120" w:line="288" w:lineRule="auto"/>
      </w:pPr>
      <w:r w:rsidRPr="0061078E">
        <w:t>request for information</w:t>
      </w:r>
    </w:p>
    <w:p w14:paraId="731DBB96" w14:textId="77777777" w:rsidR="0061078E" w:rsidRPr="0061078E" w:rsidRDefault="0061078E" w:rsidP="00681ED5">
      <w:pPr>
        <w:numPr>
          <w:ilvl w:val="1"/>
          <w:numId w:val="11"/>
        </w:numPr>
        <w:spacing w:before="120" w:after="120" w:line="288" w:lineRule="auto"/>
      </w:pPr>
      <w:r w:rsidRPr="0061078E">
        <w:t xml:space="preserve">request for proposal. </w:t>
      </w:r>
    </w:p>
    <w:p w14:paraId="5906C046" w14:textId="478A3929" w:rsidR="00056580" w:rsidRPr="00056580" w:rsidRDefault="0061078E" w:rsidP="00681ED5">
      <w:pPr>
        <w:pStyle w:val="Boxed3Text"/>
        <w:spacing w:before="120" w:after="120" w:line="288" w:lineRule="auto"/>
      </w:pPr>
      <w:r w:rsidRPr="0061078E">
        <w:t>Where possible, entities should approach more than one supplier when using a Panel</w:t>
      </w:r>
    </w:p>
    <w:p w14:paraId="6E30EC01" w14:textId="77777777" w:rsidR="005F75FF" w:rsidRPr="005F75FF" w:rsidRDefault="005F75FF" w:rsidP="00681ED5">
      <w:pPr>
        <w:spacing w:before="120" w:after="120" w:line="288" w:lineRule="auto"/>
        <w:textAlignment w:val="baseline"/>
        <w:rPr>
          <w:rFonts w:ascii="Arial" w:eastAsia="Times New Roman" w:hAnsi="Arial" w:cs="Arial"/>
          <w:lang w:eastAsia="en-AU"/>
        </w:rPr>
      </w:pPr>
      <w:r w:rsidRPr="005F75FF">
        <w:rPr>
          <w:rFonts w:ascii="Arial" w:eastAsia="Times New Roman" w:hAnsi="Arial" w:cs="Arial"/>
          <w:lang w:eastAsia="en-AU"/>
        </w:rPr>
        <w:t>The approach to market can be undertaken via a formal or non-formal approach to potential suppliers.</w:t>
      </w:r>
    </w:p>
    <w:p w14:paraId="65DAD7A0" w14:textId="77777777" w:rsidR="005F75FF" w:rsidRPr="005F75FF" w:rsidRDefault="005F75FF" w:rsidP="00681ED5">
      <w:pPr>
        <w:spacing w:before="120" w:after="120" w:line="288" w:lineRule="auto"/>
        <w:textAlignment w:val="baseline"/>
        <w:rPr>
          <w:rFonts w:ascii="Arial" w:eastAsia="Times New Roman" w:hAnsi="Arial" w:cs="Arial"/>
          <w:lang w:eastAsia="en-AU"/>
        </w:rPr>
      </w:pPr>
      <w:r w:rsidRPr="005F75FF">
        <w:rPr>
          <w:rFonts w:ascii="Arial" w:eastAsia="Times New Roman" w:hAnsi="Arial" w:cs="Arial"/>
          <w:b/>
          <w:bCs/>
          <w:lang w:eastAsia="en-AU"/>
        </w:rPr>
        <w:t>Formal approach</w:t>
      </w:r>
      <w:r w:rsidRPr="005F75FF">
        <w:rPr>
          <w:rFonts w:ascii="Arial" w:eastAsia="Times New Roman" w:hAnsi="Arial" w:cs="Arial"/>
          <w:lang w:eastAsia="en-AU"/>
        </w:rPr>
        <w:t xml:space="preserve"> – A formal approach to market generally involves issuing documentation to potential suppliers that outlines the work to be undertaken and details all the requirements that a supplier will need to meet when providing a tender response. Open tender procurements typically require a formal approach to market. </w:t>
      </w:r>
    </w:p>
    <w:p w14:paraId="178EF94F" w14:textId="77777777" w:rsidR="005F75FF" w:rsidRPr="005F75FF" w:rsidRDefault="005F75FF" w:rsidP="00681ED5">
      <w:pPr>
        <w:spacing w:before="120" w:after="120" w:line="288" w:lineRule="auto"/>
        <w:textAlignment w:val="baseline"/>
        <w:rPr>
          <w:rFonts w:ascii="Arial" w:eastAsia="Times New Roman" w:hAnsi="Arial" w:cs="Arial"/>
          <w:lang w:eastAsia="en-AU"/>
        </w:rPr>
      </w:pPr>
      <w:r w:rsidRPr="005F75FF">
        <w:rPr>
          <w:rFonts w:ascii="Arial" w:eastAsia="Calibri" w:hAnsi="Arial" w:cs="Arial"/>
          <w:b/>
          <w:bCs/>
        </w:rPr>
        <w:t>Non-formal approach</w:t>
      </w:r>
      <w:r w:rsidRPr="005F75FF">
        <w:rPr>
          <w:rFonts w:ascii="Arial" w:eastAsia="Calibri" w:hAnsi="Arial" w:cs="Arial"/>
        </w:rPr>
        <w:t xml:space="preserve"> - Not all purchases require a formal ATM and tender response process. This is dependent on the complexity and risk of the purchase. For simple procurements that are under the expected value, buyers might seek a quote and information regarding availability</w:t>
      </w:r>
      <w:r w:rsidRPr="005F75FF">
        <w:rPr>
          <w:rFonts w:ascii="Arial" w:eastAsia="Times New Roman" w:hAnsi="Arial" w:cs="Arial"/>
          <w:lang w:eastAsia="en-AU"/>
        </w:rPr>
        <w:t xml:space="preserve"> from a limited number of potential suppliers. A non-formal approach is generally used when government organisations are conducting a limited tender</w:t>
      </w:r>
    </w:p>
    <w:p w14:paraId="62FEF98E" w14:textId="30BFB6C4" w:rsidR="005F75FF" w:rsidRPr="005F75FF" w:rsidRDefault="005F75FF" w:rsidP="00681ED5">
      <w:pPr>
        <w:spacing w:before="120" w:after="120" w:line="288" w:lineRule="auto"/>
        <w:textAlignment w:val="baseline"/>
        <w:rPr>
          <w:rFonts w:ascii="Arial" w:eastAsia="Times New Roman" w:hAnsi="Arial" w:cs="Arial"/>
          <w:lang w:eastAsia="en-AU"/>
        </w:rPr>
      </w:pPr>
      <w:r w:rsidRPr="005F75FF">
        <w:rPr>
          <w:rFonts w:ascii="Arial" w:eastAsia="Times New Roman" w:hAnsi="Arial" w:cs="Arial"/>
          <w:b/>
          <w:bCs/>
          <w:lang w:eastAsia="en-AU"/>
        </w:rPr>
        <w:t>Panel approach</w:t>
      </w:r>
      <w:r w:rsidRPr="005F75FF">
        <w:rPr>
          <w:rFonts w:ascii="Arial" w:eastAsia="Times New Roman" w:hAnsi="Arial" w:cs="Arial"/>
          <w:lang w:eastAsia="en-AU"/>
        </w:rPr>
        <w:t xml:space="preserve"> –buyers may approach suppliers through a panel, provided the tendered work is within the scope of the standing offer. </w:t>
      </w:r>
      <w:r w:rsidRPr="005F75FF">
        <w:rPr>
          <w:rFonts w:ascii="Arial" w:eastAsia="Times New Roman" w:hAnsi="Arial" w:cs="Arial"/>
        </w:rPr>
        <w:t>To maximise competition, buyers are encouraged to approach multiple potential suppliers, where possible.</w:t>
      </w:r>
      <w:r w:rsidRPr="005F75FF">
        <w:rPr>
          <w:rFonts w:ascii="Arial" w:eastAsia="Times New Roman" w:hAnsi="Arial" w:cs="Arial"/>
          <w:lang w:eastAsia="en-AU"/>
        </w:rPr>
        <w:t xml:space="preserve"> Buyers must then select the response that represents the best value for money.</w:t>
      </w:r>
    </w:p>
    <w:p w14:paraId="0B7AB9E6" w14:textId="578C4047" w:rsidR="008652F5" w:rsidRPr="005F75FF" w:rsidRDefault="005F75FF" w:rsidP="00681ED5">
      <w:pPr>
        <w:spacing w:before="120" w:after="120" w:line="288" w:lineRule="auto"/>
        <w:rPr>
          <w:rFonts w:ascii="Arial" w:hAnsi="Arial" w:cs="Arial"/>
        </w:rPr>
      </w:pPr>
      <w:r w:rsidRPr="005F75FF">
        <w:rPr>
          <w:rFonts w:ascii="Arial" w:eastAsia="Times New Roman" w:hAnsi="Arial" w:cs="Arial"/>
          <w:lang w:eastAsia="en-AU"/>
        </w:rPr>
        <w:t>Being on a panel is not a guarantee that you will be approached. For context, some panels have hundreds of potential suppliers</w:t>
      </w:r>
      <w:r w:rsidR="00E452BD">
        <w:rPr>
          <w:rFonts w:ascii="Arial" w:eastAsia="Times New Roman" w:hAnsi="Arial" w:cs="Arial"/>
          <w:lang w:eastAsia="en-AU"/>
        </w:rPr>
        <w:t>,</w:t>
      </w:r>
      <w:r w:rsidRPr="005F75FF">
        <w:rPr>
          <w:rFonts w:ascii="Arial" w:eastAsia="Times New Roman" w:hAnsi="Arial" w:cs="Arial"/>
          <w:lang w:eastAsia="en-AU"/>
        </w:rPr>
        <w:t xml:space="preserve"> so make sure you invest in promoting your businesses’ capability and capacity.</w:t>
      </w:r>
    </w:p>
    <w:p w14:paraId="7AAEAC66" w14:textId="6B4CC107" w:rsidR="007111B2" w:rsidRPr="009A4288" w:rsidRDefault="007111B2" w:rsidP="009A4288">
      <w:pPr>
        <w:pStyle w:val="Heading1"/>
      </w:pPr>
      <w:bookmarkStart w:id="12" w:name="_Toc201582895"/>
      <w:r w:rsidRPr="009A4288">
        <w:t>Elements of an A</w:t>
      </w:r>
      <w:r w:rsidR="00681ED5" w:rsidRPr="009A4288">
        <w:t>pproach to Market</w:t>
      </w:r>
      <w:bookmarkEnd w:id="12"/>
      <w:r w:rsidR="007F506E" w:rsidRPr="009A4288">
        <w:t xml:space="preserve"> (ATM)</w:t>
      </w:r>
    </w:p>
    <w:p w14:paraId="3D6B3BFF" w14:textId="77777777" w:rsidR="00E64CE9" w:rsidRPr="008A5D79" w:rsidRDefault="00E64CE9" w:rsidP="007F506E">
      <w:pPr>
        <w:spacing w:before="120" w:after="120" w:line="288" w:lineRule="auto"/>
        <w:rPr>
          <w:rFonts w:ascii="Arial" w:hAnsi="Arial" w:cs="Arial"/>
        </w:rPr>
      </w:pPr>
      <w:r w:rsidRPr="008A5D79">
        <w:rPr>
          <w:rFonts w:ascii="Arial" w:hAnsi="Arial" w:cs="Arial"/>
        </w:rPr>
        <w:t>Elements usually found in an ATM:</w:t>
      </w:r>
    </w:p>
    <w:p w14:paraId="5849FCEE" w14:textId="1D2DFC49" w:rsidR="008A5D79" w:rsidRPr="008A5D79" w:rsidRDefault="008A5D79" w:rsidP="007F506E">
      <w:pPr>
        <w:spacing w:before="120" w:after="120" w:line="288" w:lineRule="auto"/>
        <w:textAlignment w:val="baseline"/>
        <w:rPr>
          <w:rFonts w:ascii="Arial" w:eastAsia="Times New Roman" w:hAnsi="Arial" w:cs="Arial"/>
          <w:lang w:eastAsia="en-AU"/>
        </w:rPr>
      </w:pPr>
      <w:r w:rsidRPr="008A5D79">
        <w:rPr>
          <w:rFonts w:ascii="Arial" w:eastAsia="Times New Roman" w:hAnsi="Arial" w:cs="Arial"/>
          <w:b/>
          <w:bCs/>
          <w:lang w:val="en-GB" w:eastAsia="en-AU"/>
        </w:rPr>
        <w:t>Statement of the requirement</w:t>
      </w:r>
      <w:r w:rsidRPr="008A5D79">
        <w:rPr>
          <w:rFonts w:ascii="Arial" w:eastAsia="Times New Roman" w:hAnsi="Arial" w:cs="Arial"/>
          <w:lang w:eastAsia="en-AU"/>
        </w:rPr>
        <w:t xml:space="preserve"> </w:t>
      </w:r>
      <w:r w:rsidR="00A35A71">
        <w:rPr>
          <w:rFonts w:ascii="Arial" w:eastAsia="Times New Roman" w:hAnsi="Arial" w:cs="Arial"/>
          <w:lang w:eastAsia="en-AU"/>
        </w:rPr>
        <w:t>–</w:t>
      </w:r>
      <w:r w:rsidRPr="008A5D79">
        <w:rPr>
          <w:rFonts w:ascii="Arial" w:eastAsia="Times New Roman" w:hAnsi="Arial" w:cs="Arial"/>
          <w:lang w:eastAsia="en-AU"/>
        </w:rPr>
        <w:t xml:space="preserve"> Describes the goods or services being procured, including</w:t>
      </w:r>
      <w:r w:rsidRPr="008A5D79">
        <w:rPr>
          <w:rFonts w:ascii="Arial" w:eastAsia="Times New Roman" w:hAnsi="Arial" w:cs="Arial"/>
          <w:lang w:val="en-GB" w:eastAsia="en-AU"/>
        </w:rPr>
        <w:t>:</w:t>
      </w:r>
    </w:p>
    <w:p w14:paraId="29791F23" w14:textId="31A23229" w:rsidR="008A5D79" w:rsidRPr="008A5D79" w:rsidRDefault="007D1CAD" w:rsidP="007F506E">
      <w:pPr>
        <w:numPr>
          <w:ilvl w:val="0"/>
          <w:numId w:val="24"/>
        </w:numPr>
        <w:suppressAutoHyphens w:val="0"/>
        <w:spacing w:before="120" w:after="120" w:line="288" w:lineRule="auto"/>
        <w:ind w:left="714" w:hanging="357"/>
        <w:contextualSpacing/>
        <w:textAlignment w:val="baseline"/>
        <w:rPr>
          <w:rFonts w:ascii="Arial" w:eastAsia="Times New Roman" w:hAnsi="Arial" w:cs="Arial"/>
          <w:lang w:eastAsia="en-AU"/>
        </w:rPr>
      </w:pPr>
      <w:r>
        <w:rPr>
          <w:rFonts w:ascii="Arial" w:eastAsia="Times New Roman" w:hAnsi="Arial" w:cs="Arial"/>
          <w:lang w:eastAsia="en-AU"/>
        </w:rPr>
        <w:t>t</w:t>
      </w:r>
      <w:r w:rsidR="008A5D79" w:rsidRPr="008A5D79">
        <w:rPr>
          <w:rFonts w:ascii="Arial" w:eastAsia="Times New Roman" w:hAnsi="Arial" w:cs="Arial"/>
          <w:lang w:eastAsia="en-AU"/>
        </w:rPr>
        <w:t xml:space="preserve">he nature and scope of the work </w:t>
      </w:r>
      <w:r w:rsidR="00A35A71">
        <w:rPr>
          <w:rFonts w:ascii="Arial" w:eastAsia="Times New Roman" w:hAnsi="Arial" w:cs="Arial"/>
          <w:lang w:eastAsia="en-AU"/>
        </w:rPr>
        <w:t>–</w:t>
      </w:r>
      <w:r w:rsidR="008A5D79" w:rsidRPr="008A5D79">
        <w:rPr>
          <w:rFonts w:ascii="Arial" w:eastAsia="Times New Roman" w:hAnsi="Arial" w:cs="Arial"/>
          <w:lang w:eastAsia="en-AU"/>
        </w:rPr>
        <w:t xml:space="preserve"> statement of requirement</w:t>
      </w:r>
    </w:p>
    <w:p w14:paraId="26AC520A" w14:textId="3804F7C6" w:rsidR="008A5D79" w:rsidRPr="008A5D79" w:rsidRDefault="002E2B7C" w:rsidP="007F506E">
      <w:pPr>
        <w:numPr>
          <w:ilvl w:val="0"/>
          <w:numId w:val="24"/>
        </w:numPr>
        <w:suppressAutoHyphens w:val="0"/>
        <w:spacing w:before="120" w:after="120" w:line="288" w:lineRule="auto"/>
        <w:ind w:left="697" w:hanging="357"/>
        <w:contextualSpacing/>
        <w:textAlignment w:val="baseline"/>
        <w:rPr>
          <w:rFonts w:ascii="Arial" w:eastAsia="Times New Roman" w:hAnsi="Arial" w:cs="Arial"/>
          <w:lang w:eastAsia="en-AU"/>
        </w:rPr>
      </w:pPr>
      <w:r>
        <w:rPr>
          <w:rFonts w:ascii="Arial" w:eastAsia="Times New Roman" w:hAnsi="Arial" w:cs="Arial"/>
          <w:lang w:eastAsia="en-AU"/>
        </w:rPr>
        <w:t>d</w:t>
      </w:r>
      <w:r w:rsidR="008A5D79" w:rsidRPr="008A5D79">
        <w:rPr>
          <w:rFonts w:ascii="Arial" w:eastAsia="Times New Roman" w:hAnsi="Arial" w:cs="Arial"/>
          <w:lang w:eastAsia="en-AU"/>
        </w:rPr>
        <w:t>eliverables or expected outcomes</w:t>
      </w:r>
    </w:p>
    <w:p w14:paraId="3BD418AF" w14:textId="40CB9090" w:rsidR="008A5D79" w:rsidRPr="008A5D79" w:rsidRDefault="002E2B7C" w:rsidP="007F506E">
      <w:pPr>
        <w:numPr>
          <w:ilvl w:val="0"/>
          <w:numId w:val="24"/>
        </w:numPr>
        <w:suppressAutoHyphens w:val="0"/>
        <w:spacing w:before="120" w:after="120" w:line="288" w:lineRule="auto"/>
        <w:ind w:left="714" w:hanging="357"/>
        <w:contextualSpacing/>
        <w:textAlignment w:val="baseline"/>
        <w:rPr>
          <w:rFonts w:ascii="Arial" w:eastAsia="Times New Roman" w:hAnsi="Arial" w:cs="Arial"/>
          <w:lang w:eastAsia="en-AU"/>
        </w:rPr>
      </w:pPr>
      <w:r>
        <w:rPr>
          <w:rFonts w:ascii="Arial" w:eastAsia="Times New Roman" w:hAnsi="Arial" w:cs="Arial"/>
          <w:lang w:eastAsia="en-AU"/>
        </w:rPr>
        <w:t>s</w:t>
      </w:r>
      <w:r w:rsidR="008A5D79" w:rsidRPr="008A5D79">
        <w:rPr>
          <w:rFonts w:ascii="Arial" w:eastAsia="Times New Roman" w:hAnsi="Arial" w:cs="Arial"/>
          <w:lang w:eastAsia="en-AU"/>
        </w:rPr>
        <w:t xml:space="preserve">pecifications – performance, functional, </w:t>
      </w:r>
      <w:r>
        <w:rPr>
          <w:rFonts w:ascii="Arial" w:eastAsia="Times New Roman" w:hAnsi="Arial" w:cs="Arial"/>
          <w:lang w:eastAsia="en-AU"/>
        </w:rPr>
        <w:t xml:space="preserve">and </w:t>
      </w:r>
      <w:r w:rsidR="008A5D79" w:rsidRPr="008A5D79">
        <w:rPr>
          <w:rFonts w:ascii="Arial" w:eastAsia="Times New Roman" w:hAnsi="Arial" w:cs="Arial"/>
          <w:lang w:eastAsia="en-AU"/>
        </w:rPr>
        <w:t>technical</w:t>
      </w:r>
    </w:p>
    <w:p w14:paraId="52C3BD40" w14:textId="27860E71" w:rsidR="008A5D79" w:rsidRPr="008A5D79" w:rsidRDefault="002E2B7C" w:rsidP="007F506E">
      <w:pPr>
        <w:numPr>
          <w:ilvl w:val="0"/>
          <w:numId w:val="24"/>
        </w:numPr>
        <w:suppressAutoHyphens w:val="0"/>
        <w:spacing w:before="120" w:after="120" w:line="288" w:lineRule="auto"/>
        <w:ind w:left="714" w:hanging="357"/>
        <w:contextualSpacing/>
        <w:textAlignment w:val="baseline"/>
        <w:rPr>
          <w:rFonts w:ascii="Arial" w:eastAsia="Times New Roman" w:hAnsi="Arial" w:cs="Arial"/>
          <w:lang w:eastAsia="en-AU"/>
        </w:rPr>
      </w:pPr>
      <w:r>
        <w:rPr>
          <w:rFonts w:ascii="Arial" w:eastAsia="Times New Roman" w:hAnsi="Arial" w:cs="Arial"/>
          <w:lang w:eastAsia="en-AU"/>
        </w:rPr>
        <w:t>i</w:t>
      </w:r>
      <w:r w:rsidR="008A5D79" w:rsidRPr="008A5D79">
        <w:rPr>
          <w:rFonts w:ascii="Arial" w:eastAsia="Times New Roman" w:hAnsi="Arial" w:cs="Arial"/>
          <w:lang w:eastAsia="en-AU"/>
        </w:rPr>
        <w:t>nstallation, training, support, or maintenance needs</w:t>
      </w:r>
    </w:p>
    <w:p w14:paraId="3A402B9F" w14:textId="2408669A" w:rsidR="008A5D79" w:rsidRPr="008A5D79" w:rsidRDefault="002E2B7C" w:rsidP="007F506E">
      <w:pPr>
        <w:numPr>
          <w:ilvl w:val="0"/>
          <w:numId w:val="24"/>
        </w:numPr>
        <w:suppressAutoHyphens w:val="0"/>
        <w:spacing w:before="120" w:after="120" w:line="288" w:lineRule="auto"/>
        <w:ind w:left="714" w:hanging="357"/>
        <w:contextualSpacing/>
        <w:textAlignment w:val="baseline"/>
        <w:rPr>
          <w:rFonts w:ascii="Arial" w:eastAsia="Times New Roman" w:hAnsi="Arial" w:cs="Arial"/>
          <w:lang w:eastAsia="en-AU"/>
        </w:rPr>
      </w:pPr>
      <w:r>
        <w:rPr>
          <w:rFonts w:ascii="Arial" w:eastAsia="Times New Roman" w:hAnsi="Arial" w:cs="Arial"/>
          <w:lang w:eastAsia="en-AU"/>
        </w:rPr>
        <w:t>t</w:t>
      </w:r>
      <w:r w:rsidR="008A5D79" w:rsidRPr="008A5D79">
        <w:rPr>
          <w:rFonts w:ascii="Arial" w:eastAsia="Times New Roman" w:hAnsi="Arial" w:cs="Arial"/>
          <w:lang w:eastAsia="en-AU"/>
        </w:rPr>
        <w:t>imeframes for delivery of goods or services</w:t>
      </w:r>
    </w:p>
    <w:p w14:paraId="4AD657C4" w14:textId="615DE172" w:rsidR="008A5D79" w:rsidRPr="008A5D79" w:rsidRDefault="002E2B7C" w:rsidP="007F506E">
      <w:pPr>
        <w:numPr>
          <w:ilvl w:val="0"/>
          <w:numId w:val="24"/>
        </w:numPr>
        <w:suppressAutoHyphens w:val="0"/>
        <w:spacing w:before="120" w:after="120" w:line="288" w:lineRule="auto"/>
        <w:ind w:left="714" w:hanging="357"/>
        <w:contextualSpacing/>
        <w:textAlignment w:val="baseline"/>
        <w:rPr>
          <w:rFonts w:ascii="Arial" w:eastAsia="Times New Roman" w:hAnsi="Arial" w:cs="Arial"/>
          <w:lang w:eastAsia="en-AU"/>
        </w:rPr>
      </w:pPr>
      <w:r>
        <w:rPr>
          <w:rFonts w:ascii="Arial" w:eastAsia="Times New Roman" w:hAnsi="Arial" w:cs="Arial"/>
          <w:lang w:eastAsia="en-AU"/>
        </w:rPr>
        <w:t>o</w:t>
      </w:r>
      <w:r w:rsidR="008A5D79" w:rsidRPr="008A5D79">
        <w:rPr>
          <w:rFonts w:ascii="Arial" w:eastAsia="Times New Roman" w:hAnsi="Arial" w:cs="Arial"/>
          <w:lang w:eastAsia="en-AU"/>
        </w:rPr>
        <w:t>ptions for extensions or additional work.</w:t>
      </w:r>
      <w:r w:rsidR="008A5D79" w:rsidRPr="008A5D79">
        <w:rPr>
          <w:rFonts w:ascii="Arial" w:eastAsia="Times New Roman" w:hAnsi="Arial" w:cs="Arial"/>
          <w:lang w:eastAsia="en-AU"/>
        </w:rPr>
        <w:br/>
      </w:r>
    </w:p>
    <w:p w14:paraId="1BF1CE5A" w14:textId="60D53CB9" w:rsidR="008A5D79" w:rsidRPr="008A5D79" w:rsidRDefault="008A5D79" w:rsidP="007F506E">
      <w:pPr>
        <w:spacing w:before="120" w:after="120" w:line="288" w:lineRule="auto"/>
        <w:textAlignment w:val="baseline"/>
        <w:rPr>
          <w:rFonts w:ascii="Arial" w:eastAsia="Times New Roman" w:hAnsi="Arial" w:cs="Arial"/>
          <w:lang w:eastAsia="en-AU"/>
        </w:rPr>
      </w:pPr>
      <w:r w:rsidRPr="008A5D79">
        <w:rPr>
          <w:rFonts w:ascii="Arial" w:eastAsia="Times New Roman" w:hAnsi="Arial" w:cs="Arial"/>
          <w:b/>
          <w:bCs/>
          <w:lang w:val="en-GB" w:eastAsia="en-AU"/>
        </w:rPr>
        <w:lastRenderedPageBreak/>
        <w:t>Conditions for participation</w:t>
      </w:r>
      <w:r w:rsidRPr="008A5D79">
        <w:rPr>
          <w:rFonts w:ascii="Arial" w:eastAsia="Times New Roman" w:hAnsi="Arial" w:cs="Arial"/>
          <w:lang w:eastAsia="en-AU"/>
        </w:rPr>
        <w:t xml:space="preserve"> </w:t>
      </w:r>
      <w:r w:rsidR="00A35A71">
        <w:rPr>
          <w:rFonts w:ascii="Arial" w:eastAsia="Times New Roman" w:hAnsi="Arial" w:cs="Arial"/>
          <w:lang w:eastAsia="en-AU"/>
        </w:rPr>
        <w:t>–</w:t>
      </w:r>
      <w:r w:rsidRPr="008A5D79">
        <w:rPr>
          <w:rFonts w:ascii="Arial" w:eastAsia="Times New Roman" w:hAnsi="Arial" w:cs="Arial"/>
          <w:lang w:eastAsia="en-AU"/>
        </w:rPr>
        <w:t xml:space="preserve"> The minimum requirements you must meet to be considered for the work. If you do not meet these requirements, your submission will not be considered. These are included to make sure you have the legal, financial, technical or commercial capabilities to deliver the work.</w:t>
      </w:r>
    </w:p>
    <w:p w14:paraId="26860580" w14:textId="38C6277B" w:rsidR="008A5D79" w:rsidRPr="008A5D79" w:rsidRDefault="008A5D79" w:rsidP="007F506E">
      <w:pPr>
        <w:spacing w:before="120" w:after="120" w:line="288" w:lineRule="auto"/>
        <w:textAlignment w:val="baseline"/>
        <w:rPr>
          <w:rFonts w:ascii="Arial" w:eastAsia="Times New Roman" w:hAnsi="Arial" w:cs="Arial"/>
          <w:lang w:eastAsia="en-AU"/>
        </w:rPr>
      </w:pPr>
      <w:r w:rsidRPr="008A5D79">
        <w:rPr>
          <w:rFonts w:ascii="Arial" w:eastAsia="Times New Roman" w:hAnsi="Arial" w:cs="Arial"/>
          <w:b/>
          <w:bCs/>
          <w:lang w:val="en-GB" w:eastAsia="en-AU"/>
        </w:rPr>
        <w:t>Evaluation criteria and methodology</w:t>
      </w:r>
      <w:r w:rsidRPr="008A5D79">
        <w:rPr>
          <w:rFonts w:ascii="Arial" w:eastAsia="Times New Roman" w:hAnsi="Arial" w:cs="Arial"/>
          <w:lang w:eastAsia="en-AU"/>
        </w:rPr>
        <w:t xml:space="preserve"> </w:t>
      </w:r>
      <w:r w:rsidR="00A35A71">
        <w:rPr>
          <w:rFonts w:ascii="Arial" w:eastAsia="Times New Roman" w:hAnsi="Arial" w:cs="Arial"/>
          <w:lang w:eastAsia="en-AU"/>
        </w:rPr>
        <w:t>–</w:t>
      </w:r>
      <w:r w:rsidRPr="008A5D79">
        <w:rPr>
          <w:rFonts w:ascii="Arial" w:eastAsia="Times New Roman" w:hAnsi="Arial" w:cs="Arial"/>
          <w:lang w:eastAsia="en-AU"/>
        </w:rPr>
        <w:t xml:space="preserve"> Your submission will be assessed against the evaluation criteria. The request document should also describe the evaluation methodology including, for example, whether tenders will be shortlisted before a successful supplier is chosen.</w:t>
      </w:r>
    </w:p>
    <w:p w14:paraId="7E8DB8D1" w14:textId="77777777" w:rsidR="008A5D79" w:rsidRPr="008A5D79" w:rsidRDefault="008A5D79" w:rsidP="007F506E">
      <w:pPr>
        <w:spacing w:before="120" w:after="120" w:line="288" w:lineRule="auto"/>
        <w:textAlignment w:val="baseline"/>
        <w:rPr>
          <w:rFonts w:ascii="Arial" w:eastAsia="Times New Roman" w:hAnsi="Arial" w:cs="Arial"/>
          <w:lang w:eastAsia="en-AU"/>
        </w:rPr>
      </w:pPr>
      <w:r w:rsidRPr="008A5D79">
        <w:rPr>
          <w:rFonts w:ascii="Arial" w:eastAsia="Times New Roman" w:hAnsi="Arial" w:cs="Arial"/>
          <w:b/>
          <w:bCs/>
          <w:lang w:val="en-GB" w:eastAsia="en-AU"/>
        </w:rPr>
        <w:t xml:space="preserve">Minimum content and format </w:t>
      </w:r>
      <w:r w:rsidRPr="008A5D79">
        <w:rPr>
          <w:rFonts w:ascii="Arial" w:eastAsia="Times New Roman" w:hAnsi="Arial" w:cs="Arial"/>
          <w:lang w:eastAsia="en-AU"/>
        </w:rPr>
        <w:t>– What information is to be included in your submission and the format to use. Examples are providing certificates of insurance, using certain schedules or submitting an electronic response.</w:t>
      </w:r>
    </w:p>
    <w:p w14:paraId="1DF82868" w14:textId="11936D19" w:rsidR="008A5D79" w:rsidRPr="008A5D79" w:rsidRDefault="008A5D79" w:rsidP="007F506E">
      <w:pPr>
        <w:spacing w:before="120" w:after="120" w:line="288" w:lineRule="auto"/>
        <w:textAlignment w:val="baseline"/>
        <w:rPr>
          <w:rFonts w:ascii="Arial" w:eastAsia="Times New Roman" w:hAnsi="Arial" w:cs="Arial"/>
          <w:lang w:eastAsia="en-AU"/>
        </w:rPr>
      </w:pPr>
      <w:r w:rsidRPr="008A5D79">
        <w:rPr>
          <w:rFonts w:ascii="Arial" w:eastAsia="Times New Roman" w:hAnsi="Arial" w:cs="Arial"/>
          <w:b/>
          <w:bCs/>
          <w:lang w:val="en-GB" w:eastAsia="en-AU"/>
        </w:rPr>
        <w:t>Process rules</w:t>
      </w:r>
      <w:r w:rsidRPr="008A5D79">
        <w:rPr>
          <w:rFonts w:ascii="Arial" w:eastAsia="Times New Roman" w:hAnsi="Arial" w:cs="Arial"/>
          <w:lang w:val="en-GB" w:eastAsia="en-AU"/>
        </w:rPr>
        <w:t xml:space="preserve"> </w:t>
      </w:r>
      <w:r w:rsidR="00A35A71">
        <w:rPr>
          <w:rFonts w:ascii="Arial" w:eastAsia="Times New Roman" w:hAnsi="Arial" w:cs="Arial"/>
          <w:lang w:val="en-GB" w:eastAsia="en-AU"/>
        </w:rPr>
        <w:t>–</w:t>
      </w:r>
      <w:r w:rsidRPr="008A5D79">
        <w:rPr>
          <w:rFonts w:ascii="Arial" w:eastAsia="Times New Roman" w:hAnsi="Arial" w:cs="Arial"/>
          <w:lang w:val="en-GB" w:eastAsia="en-AU"/>
        </w:rPr>
        <w:t xml:space="preserve"> </w:t>
      </w:r>
      <w:r w:rsidRPr="008A5D79">
        <w:rPr>
          <w:rFonts w:ascii="Arial" w:eastAsia="Times New Roman" w:hAnsi="Arial" w:cs="Arial"/>
          <w:lang w:eastAsia="en-AU"/>
        </w:rPr>
        <w:t>Outlines how the tender will be run. Such as the deadline, and lodgement instructions.</w:t>
      </w:r>
    </w:p>
    <w:p w14:paraId="6F67F1CD" w14:textId="7E1769FA" w:rsidR="00076DC5" w:rsidRPr="008A5D79" w:rsidRDefault="008A5D79" w:rsidP="007F506E">
      <w:pPr>
        <w:spacing w:before="120" w:after="120" w:line="288" w:lineRule="auto"/>
        <w:rPr>
          <w:rFonts w:ascii="Arial" w:hAnsi="Arial" w:cs="Arial"/>
        </w:rPr>
      </w:pPr>
      <w:r w:rsidRPr="008A5D79">
        <w:rPr>
          <w:rFonts w:ascii="Arial" w:eastAsia="Times New Roman" w:hAnsi="Arial" w:cs="Arial"/>
          <w:b/>
          <w:bCs/>
          <w:lang w:val="en-GB" w:eastAsia="en-AU"/>
        </w:rPr>
        <w:t>Draft contract</w:t>
      </w:r>
      <w:r w:rsidRPr="008A5D79">
        <w:rPr>
          <w:rFonts w:ascii="Arial" w:eastAsia="Times New Roman" w:hAnsi="Arial" w:cs="Arial"/>
          <w:lang w:val="en-GB" w:eastAsia="en-AU"/>
        </w:rPr>
        <w:t xml:space="preserve"> </w:t>
      </w:r>
      <w:r w:rsidR="00A35A71">
        <w:rPr>
          <w:rFonts w:ascii="Arial" w:eastAsia="Times New Roman" w:hAnsi="Arial" w:cs="Arial"/>
          <w:lang w:val="en-GB" w:eastAsia="en-AU"/>
        </w:rPr>
        <w:t>–</w:t>
      </w:r>
      <w:r w:rsidRPr="008A5D79">
        <w:rPr>
          <w:rFonts w:ascii="Arial" w:eastAsia="Times New Roman" w:hAnsi="Arial" w:cs="Arial"/>
          <w:lang w:val="en-GB" w:eastAsia="en-AU"/>
        </w:rPr>
        <w:t xml:space="preserve"> </w:t>
      </w:r>
      <w:r w:rsidRPr="008A5D79">
        <w:rPr>
          <w:rFonts w:ascii="Arial" w:eastAsia="Calibri" w:hAnsi="Arial" w:cs="Arial"/>
        </w:rPr>
        <w:t>A draft contract is usually included so you can clearly understand the requirements of the buyer and the terms and conditions under which</w:t>
      </w:r>
      <w:r w:rsidR="00B83148">
        <w:rPr>
          <w:rFonts w:ascii="Arial" w:eastAsia="Calibri" w:hAnsi="Arial" w:cs="Arial"/>
        </w:rPr>
        <w:t xml:space="preserve"> the</w:t>
      </w:r>
      <w:r w:rsidRPr="008A5D79">
        <w:rPr>
          <w:rFonts w:ascii="Arial" w:eastAsia="Calibri" w:hAnsi="Arial" w:cs="Arial"/>
        </w:rPr>
        <w:t xml:space="preserve"> work will be delivered. Y</w:t>
      </w:r>
      <w:r w:rsidRPr="008A5D79">
        <w:rPr>
          <w:rFonts w:ascii="Arial" w:eastAsia="Times New Roman" w:hAnsi="Arial" w:cs="Arial"/>
          <w:lang w:eastAsia="en-AU"/>
        </w:rPr>
        <w:t>ou may need to indicate your willingness to comply with the clauses of the draft contract. Where you wish to negotiate alternative clauses, you must note these and provide justification.</w:t>
      </w:r>
    </w:p>
    <w:p w14:paraId="55E99A22" w14:textId="21ED3076" w:rsidR="00E64CE9" w:rsidRPr="009A4288" w:rsidRDefault="00E64CE9" w:rsidP="009A4288">
      <w:pPr>
        <w:pStyle w:val="Heading1"/>
      </w:pPr>
      <w:bookmarkStart w:id="13" w:name="_Toc201582896"/>
      <w:r w:rsidRPr="009A4288">
        <w:t>Preparation</w:t>
      </w:r>
      <w:bookmarkEnd w:id="13"/>
    </w:p>
    <w:p w14:paraId="2778664B" w14:textId="77777777" w:rsidR="00C3104D" w:rsidRPr="00C3104D" w:rsidRDefault="00C3104D" w:rsidP="00C3104D"/>
    <w:p w14:paraId="0A56E93E" w14:textId="0E4B256D" w:rsidR="00E64CE9" w:rsidRPr="00E64CE9" w:rsidRDefault="009C1391" w:rsidP="00CD429B">
      <w:pPr>
        <w:pStyle w:val="Boxed1Text"/>
        <w:spacing w:before="120" w:after="120" w:line="288" w:lineRule="auto"/>
        <w:jc w:val="center"/>
      </w:pPr>
      <w:r w:rsidRPr="009C1391">
        <w:t>Ensure you are sufficiently prepared</w:t>
      </w:r>
      <w:r w:rsidR="00C04801">
        <w:t>,</w:t>
      </w:r>
      <w:r w:rsidRPr="009C1391">
        <w:t xml:space="preserve"> understand the process, and </w:t>
      </w:r>
      <w:r w:rsidR="00CD429B">
        <w:br/>
      </w:r>
      <w:r w:rsidRPr="009C1391">
        <w:t>common requirements.</w:t>
      </w:r>
    </w:p>
    <w:p w14:paraId="6908B403" w14:textId="77777777" w:rsidR="00A35A71" w:rsidRDefault="00A35A71" w:rsidP="00AD78F9">
      <w:pPr>
        <w:spacing w:before="120" w:after="120" w:line="312" w:lineRule="auto"/>
        <w:textAlignment w:val="baseline"/>
        <w:rPr>
          <w:rFonts w:ascii="Calibri" w:eastAsia="Times New Roman" w:hAnsi="Calibri" w:cs="Calibri"/>
          <w:lang w:eastAsia="en-AU"/>
        </w:rPr>
      </w:pPr>
    </w:p>
    <w:p w14:paraId="7EFCA728" w14:textId="38DD6FF4" w:rsidR="00AD78F9" w:rsidRPr="00A35A71" w:rsidRDefault="00AD78F9" w:rsidP="00A35A71">
      <w:pPr>
        <w:spacing w:before="120" w:after="120" w:line="288" w:lineRule="auto"/>
        <w:textAlignment w:val="baseline"/>
        <w:rPr>
          <w:rFonts w:ascii="Arial" w:eastAsia="Times New Roman" w:hAnsi="Arial" w:cs="Arial"/>
          <w:lang w:eastAsia="en-AU"/>
        </w:rPr>
      </w:pPr>
      <w:r w:rsidRPr="00A35A71">
        <w:rPr>
          <w:rFonts w:ascii="Arial" w:eastAsia="Times New Roman" w:hAnsi="Arial" w:cs="Arial"/>
          <w:lang w:eastAsia="en-AU"/>
        </w:rPr>
        <w:t xml:space="preserve">Responding to an ATM requires time and effort. </w:t>
      </w:r>
      <w:r w:rsidR="00C04801">
        <w:rPr>
          <w:rFonts w:ascii="Arial" w:eastAsia="Times New Roman" w:hAnsi="Arial" w:cs="Arial"/>
          <w:lang w:eastAsia="en-AU"/>
        </w:rPr>
        <w:t>T</w:t>
      </w:r>
      <w:r w:rsidRPr="00A35A71">
        <w:rPr>
          <w:rFonts w:ascii="Arial" w:eastAsia="Times New Roman" w:hAnsi="Arial" w:cs="Arial"/>
          <w:lang w:eastAsia="en-AU"/>
        </w:rPr>
        <w:t>ake</w:t>
      </w:r>
      <w:r w:rsidR="00C04801">
        <w:rPr>
          <w:rFonts w:ascii="Arial" w:eastAsia="Times New Roman" w:hAnsi="Arial" w:cs="Arial"/>
          <w:lang w:eastAsia="en-AU"/>
        </w:rPr>
        <w:t xml:space="preserve"> the</w:t>
      </w:r>
      <w:r w:rsidRPr="00A35A71">
        <w:rPr>
          <w:rFonts w:ascii="Arial" w:eastAsia="Times New Roman" w:hAnsi="Arial" w:cs="Arial"/>
          <w:lang w:eastAsia="en-AU"/>
        </w:rPr>
        <w:t xml:space="preserve"> time to ensure that you are sufficiently prepared and understand the process and common requirements, before responding to a tender opportunity. </w:t>
      </w:r>
    </w:p>
    <w:p w14:paraId="3DA5A1DE" w14:textId="77777777" w:rsidR="00AD78F9" w:rsidRPr="00A35A71" w:rsidRDefault="00AD78F9" w:rsidP="00A35A71">
      <w:pPr>
        <w:spacing w:before="120" w:after="120" w:line="288" w:lineRule="auto"/>
        <w:textAlignment w:val="baseline"/>
        <w:rPr>
          <w:rFonts w:ascii="Arial" w:eastAsia="Times New Roman" w:hAnsi="Arial" w:cs="Arial"/>
          <w:lang w:eastAsia="en-AU"/>
        </w:rPr>
      </w:pPr>
      <w:r w:rsidRPr="00A35A71">
        <w:rPr>
          <w:rFonts w:ascii="Arial" w:eastAsia="Times New Roman" w:hAnsi="Arial" w:cs="Arial"/>
          <w:lang w:eastAsia="en-AU"/>
        </w:rPr>
        <w:t>If you would like to see what ATM documentation looks like, visit the AusTender website and download a current ATM for the type of goods or services that you are interested in supplying to the Australian Government. This is good preparation so that you see what it looks like, what you will be asked to provide, and gives you a sense of how long it might take to complete, before you are caught up in the pressure of responding.</w:t>
      </w:r>
    </w:p>
    <w:p w14:paraId="606C2611" w14:textId="163F90B3" w:rsidR="007F2D3E" w:rsidRPr="00A35A71" w:rsidRDefault="00AD78F9" w:rsidP="00A35A71">
      <w:pPr>
        <w:spacing w:before="120" w:after="120" w:line="288" w:lineRule="auto"/>
        <w:rPr>
          <w:rFonts w:ascii="Arial" w:hAnsi="Arial" w:cs="Arial"/>
        </w:rPr>
      </w:pPr>
      <w:r w:rsidRPr="00A35A71">
        <w:rPr>
          <w:rFonts w:ascii="Arial" w:eastAsia="Times New Roman" w:hAnsi="Arial" w:cs="Arial"/>
          <w:lang w:eastAsia="en-AU"/>
        </w:rPr>
        <w:t>Finance’s </w:t>
      </w:r>
      <w:hyperlink r:id="rId21" w:history="1">
        <w:r w:rsidRPr="00A35A71">
          <w:rPr>
            <w:rFonts w:ascii="Arial" w:eastAsia="Times New Roman" w:hAnsi="Arial" w:cs="Arial"/>
            <w:color w:val="0563C1"/>
            <w:u w:val="single"/>
            <w:lang w:eastAsia="en-AU"/>
          </w:rPr>
          <w:t>Commonwealth Contracting Suite</w:t>
        </w:r>
      </w:hyperlink>
      <w:r w:rsidRPr="00A35A71">
        <w:rPr>
          <w:rFonts w:ascii="Arial" w:eastAsia="Times New Roman" w:hAnsi="Arial" w:cs="Arial"/>
          <w:lang w:eastAsia="en-AU"/>
        </w:rPr>
        <w:t> website also includes a sample CCS Approach to Market and Commonwealth Contract. These documents are provided for information only and are not to be used as templates.</w:t>
      </w:r>
    </w:p>
    <w:p w14:paraId="1CA9106A" w14:textId="77777777" w:rsidR="00A35A71" w:rsidRDefault="00A35A71">
      <w:pPr>
        <w:suppressAutoHyphens w:val="0"/>
        <w:spacing w:before="0" w:after="120" w:line="440" w:lineRule="atLeast"/>
        <w:rPr>
          <w:rFonts w:asciiTheme="majorHAnsi" w:eastAsiaTheme="majorEastAsia" w:hAnsiTheme="majorHAnsi" w:cstheme="majorBidi"/>
          <w:bCs/>
          <w:color w:val="006066"/>
          <w:sz w:val="40"/>
          <w:szCs w:val="28"/>
        </w:rPr>
      </w:pPr>
      <w:bookmarkStart w:id="14" w:name="_Toc201582897"/>
      <w:r>
        <w:br w:type="page"/>
      </w:r>
    </w:p>
    <w:p w14:paraId="2FFD4998" w14:textId="59E8FAF8" w:rsidR="007F2D3E" w:rsidRDefault="007F2D3E" w:rsidP="007F2D3E">
      <w:pPr>
        <w:pStyle w:val="Heading1"/>
      </w:pPr>
      <w:r>
        <w:lastRenderedPageBreak/>
        <w:t>Before you respond to an A</w:t>
      </w:r>
      <w:bookmarkEnd w:id="14"/>
      <w:r w:rsidR="00C3104D">
        <w:t>pproach to Market</w:t>
      </w:r>
      <w:r w:rsidR="00602F60">
        <w:t xml:space="preserve"> (ATM)</w:t>
      </w:r>
    </w:p>
    <w:p w14:paraId="53FE749A" w14:textId="77777777" w:rsidR="00C3104D" w:rsidRPr="00C3104D" w:rsidRDefault="00C3104D" w:rsidP="00C3104D"/>
    <w:p w14:paraId="7F665307" w14:textId="75FC8C9E" w:rsidR="006A414D" w:rsidRPr="006F45FF" w:rsidRDefault="006A414D" w:rsidP="00A35A71">
      <w:pPr>
        <w:pStyle w:val="Boxed3Text"/>
        <w:spacing w:before="120" w:after="120" w:line="288" w:lineRule="auto"/>
        <w:jc w:val="center"/>
      </w:pPr>
      <w:r w:rsidRPr="006A414D">
        <w:t>Satisfy yourself the opportunity will be rewarding and cost-effective to pursue.</w:t>
      </w:r>
    </w:p>
    <w:p w14:paraId="32084A34" w14:textId="77777777" w:rsidR="00C3104D" w:rsidRDefault="00C3104D" w:rsidP="00A35A71">
      <w:pPr>
        <w:spacing w:before="120" w:after="120" w:line="288" w:lineRule="auto"/>
        <w:textAlignment w:val="baseline"/>
        <w:rPr>
          <w:rFonts w:ascii="Arial" w:eastAsia="Times New Roman" w:hAnsi="Arial" w:cs="Arial"/>
          <w:lang w:eastAsia="en-AU"/>
        </w:rPr>
      </w:pPr>
    </w:p>
    <w:p w14:paraId="3DF3914E" w14:textId="7A448752" w:rsidR="008F376A" w:rsidRPr="00914002" w:rsidRDefault="008F376A" w:rsidP="00602F60">
      <w:pPr>
        <w:spacing w:before="120" w:after="120" w:line="288" w:lineRule="auto"/>
        <w:textAlignment w:val="baseline"/>
        <w:rPr>
          <w:rFonts w:ascii="Arial" w:eastAsia="Times New Roman" w:hAnsi="Arial" w:cs="Arial"/>
          <w:lang w:eastAsia="en-AU"/>
        </w:rPr>
      </w:pPr>
      <w:r w:rsidRPr="00914002">
        <w:rPr>
          <w:rFonts w:ascii="Arial" w:eastAsia="Times New Roman" w:hAnsi="Arial" w:cs="Arial"/>
          <w:lang w:eastAsia="en-AU"/>
        </w:rPr>
        <w:t xml:space="preserve">Before you respond to an ATM, make sure it is the </w:t>
      </w:r>
      <w:r w:rsidRPr="00914002">
        <w:rPr>
          <w:rFonts w:ascii="Arial" w:eastAsia="Times New Roman" w:hAnsi="Arial" w:cs="Arial"/>
          <w:b/>
          <w:bCs/>
          <w:lang w:eastAsia="en-AU"/>
        </w:rPr>
        <w:t>right opportunity</w:t>
      </w:r>
      <w:r w:rsidRPr="00914002">
        <w:rPr>
          <w:rFonts w:ascii="Arial" w:eastAsia="Times New Roman" w:hAnsi="Arial" w:cs="Arial"/>
          <w:lang w:eastAsia="en-AU"/>
        </w:rPr>
        <w:t xml:space="preserve"> for you and is cost effective to pursue.</w:t>
      </w:r>
    </w:p>
    <w:p w14:paraId="441A2D6F" w14:textId="77777777" w:rsidR="008F376A" w:rsidRPr="00914002" w:rsidRDefault="008F376A" w:rsidP="00602F60">
      <w:pPr>
        <w:spacing w:before="120" w:after="120" w:line="288" w:lineRule="auto"/>
        <w:rPr>
          <w:rFonts w:ascii="Arial" w:eastAsia="Calibri" w:hAnsi="Arial" w:cs="Arial"/>
          <w:lang w:eastAsia="en-AU"/>
        </w:rPr>
      </w:pPr>
      <w:r w:rsidRPr="00914002">
        <w:rPr>
          <w:rFonts w:ascii="Arial" w:eastAsia="Calibri" w:hAnsi="Arial" w:cs="Arial"/>
        </w:rPr>
        <w:t>Developing a competitive response takes time and effort and there is no guarantee of success</w:t>
      </w:r>
      <w:r w:rsidRPr="00914002">
        <w:rPr>
          <w:rFonts w:ascii="Arial" w:eastAsia="Calibri" w:hAnsi="Arial" w:cs="Arial"/>
          <w:lang w:eastAsia="en-AU"/>
        </w:rPr>
        <w:t>.</w:t>
      </w:r>
    </w:p>
    <w:p w14:paraId="3B4DDBD5" w14:textId="77777777" w:rsidR="008F376A" w:rsidRPr="00914002" w:rsidRDefault="008F376A" w:rsidP="00602F60">
      <w:pPr>
        <w:spacing w:before="120" w:after="120" w:line="288" w:lineRule="auto"/>
        <w:rPr>
          <w:rFonts w:ascii="Arial" w:eastAsia="Calibri" w:hAnsi="Arial" w:cs="Arial"/>
        </w:rPr>
      </w:pPr>
      <w:r w:rsidRPr="00914002">
        <w:rPr>
          <w:rFonts w:ascii="Arial" w:eastAsia="Calibri" w:hAnsi="Arial" w:cs="Arial"/>
        </w:rPr>
        <w:t xml:space="preserve">If you have been approached to provide a response to an ATM, and you do not have the capability or capacity to respond, it’s a good idea to let the ATM contact officer know so that they understand why you have elected not to participate. This is good relationship management. </w:t>
      </w:r>
    </w:p>
    <w:p w14:paraId="34F7526C" w14:textId="77777777" w:rsidR="008F376A" w:rsidRPr="00914002" w:rsidRDefault="008F376A" w:rsidP="00602F60">
      <w:pPr>
        <w:spacing w:before="120" w:after="120" w:line="288" w:lineRule="auto"/>
        <w:rPr>
          <w:rFonts w:ascii="Arial" w:eastAsia="Times New Roman" w:hAnsi="Arial" w:cs="Arial"/>
          <w:lang w:eastAsia="en-AU"/>
        </w:rPr>
      </w:pPr>
      <w:r w:rsidRPr="00914002">
        <w:rPr>
          <w:rFonts w:ascii="Arial" w:eastAsia="Calibri" w:hAnsi="Arial" w:cs="Arial"/>
          <w:lang w:eastAsia="en-AU"/>
        </w:rPr>
        <w:t xml:space="preserve">Be prepared to explain your capability and what your business does. </w:t>
      </w:r>
      <w:r w:rsidRPr="00914002">
        <w:rPr>
          <w:rFonts w:ascii="Arial" w:eastAsia="Calibri" w:hAnsi="Arial" w:cs="Arial"/>
        </w:rPr>
        <w:t xml:space="preserve">When responding to an ATM, you will need to provide information about your business, including who you are, what you do, and what sets you apart from your competitors. You must be </w:t>
      </w:r>
      <w:r w:rsidRPr="00914002">
        <w:rPr>
          <w:rFonts w:ascii="Arial" w:eastAsia="Times New Roman" w:hAnsi="Arial" w:cs="Arial"/>
          <w:lang w:eastAsia="en-AU"/>
        </w:rPr>
        <w:t>able to clearly articulate this. </w:t>
      </w:r>
    </w:p>
    <w:p w14:paraId="0F21BD1F" w14:textId="77777777" w:rsidR="008F376A" w:rsidRPr="00914002" w:rsidRDefault="008F376A" w:rsidP="00602F60">
      <w:pPr>
        <w:spacing w:before="120" w:after="120" w:line="288" w:lineRule="auto"/>
        <w:rPr>
          <w:rFonts w:ascii="Arial" w:eastAsia="Times New Roman" w:hAnsi="Arial" w:cs="Arial"/>
          <w:lang w:eastAsia="en-AU"/>
        </w:rPr>
      </w:pPr>
      <w:r w:rsidRPr="00914002">
        <w:rPr>
          <w:rFonts w:ascii="Arial" w:eastAsia="Times New Roman" w:hAnsi="Arial" w:cs="Arial"/>
          <w:lang w:eastAsia="en-AU"/>
        </w:rPr>
        <w:t>Some questions to ask yourself before preparing a response:</w:t>
      </w:r>
    </w:p>
    <w:p w14:paraId="1C611778" w14:textId="77777777" w:rsidR="008F376A" w:rsidRPr="00914002" w:rsidRDefault="008F376A" w:rsidP="00602F60">
      <w:pPr>
        <w:numPr>
          <w:ilvl w:val="0"/>
          <w:numId w:val="25"/>
        </w:numPr>
        <w:suppressAutoHyphens w:val="0"/>
        <w:spacing w:before="120" w:after="120" w:line="288" w:lineRule="auto"/>
        <w:contextualSpacing/>
        <w:rPr>
          <w:rFonts w:ascii="Arial" w:eastAsia="Calibri" w:hAnsi="Arial" w:cs="Arial"/>
          <w:lang w:eastAsia="en-AU"/>
        </w:rPr>
      </w:pPr>
      <w:r w:rsidRPr="00914002">
        <w:rPr>
          <w:rFonts w:ascii="Arial" w:eastAsia="Calibri" w:hAnsi="Arial" w:cs="Arial"/>
          <w:lang w:eastAsia="en-AU"/>
        </w:rPr>
        <w:t>Is this the right</w:t>
      </w:r>
      <w:r w:rsidRPr="00914002">
        <w:rPr>
          <w:rFonts w:ascii="Arial" w:eastAsia="Calibri" w:hAnsi="Arial" w:cs="Arial"/>
          <w:b/>
          <w:bCs/>
          <w:lang w:eastAsia="en-AU"/>
        </w:rPr>
        <w:t xml:space="preserve"> opportunity</w:t>
      </w:r>
      <w:r w:rsidRPr="00914002">
        <w:rPr>
          <w:rFonts w:ascii="Arial" w:eastAsia="Calibri" w:hAnsi="Arial" w:cs="Arial"/>
          <w:lang w:eastAsia="en-AU"/>
        </w:rPr>
        <w:t xml:space="preserve"> for your business?</w:t>
      </w:r>
    </w:p>
    <w:p w14:paraId="53CE1BD4" w14:textId="77777777" w:rsidR="008F376A" w:rsidRPr="00914002" w:rsidRDefault="008F376A" w:rsidP="00602F60">
      <w:pPr>
        <w:numPr>
          <w:ilvl w:val="0"/>
          <w:numId w:val="25"/>
        </w:numPr>
        <w:suppressAutoHyphens w:val="0"/>
        <w:spacing w:before="120" w:after="120" w:line="288" w:lineRule="auto"/>
        <w:contextualSpacing/>
        <w:rPr>
          <w:rFonts w:ascii="Arial" w:eastAsia="Calibri" w:hAnsi="Arial" w:cs="Arial"/>
          <w:lang w:eastAsia="en-AU"/>
        </w:rPr>
      </w:pPr>
      <w:r w:rsidRPr="00914002">
        <w:rPr>
          <w:rFonts w:ascii="Arial" w:eastAsia="Calibri" w:hAnsi="Arial" w:cs="Arial"/>
          <w:lang w:eastAsia="en-AU"/>
        </w:rPr>
        <w:t xml:space="preserve">Do you understand all </w:t>
      </w:r>
      <w:r w:rsidRPr="00914002">
        <w:rPr>
          <w:rFonts w:ascii="Arial" w:eastAsia="Calibri" w:hAnsi="Arial" w:cs="Arial"/>
          <w:b/>
          <w:bCs/>
          <w:lang w:eastAsia="en-AU"/>
        </w:rPr>
        <w:t>the requirements</w:t>
      </w:r>
      <w:r w:rsidRPr="00914002">
        <w:rPr>
          <w:rFonts w:ascii="Arial" w:eastAsia="Calibri" w:hAnsi="Arial" w:cs="Arial"/>
          <w:lang w:eastAsia="en-AU"/>
        </w:rPr>
        <w:t>?</w:t>
      </w:r>
    </w:p>
    <w:p w14:paraId="250E6790" w14:textId="77777777" w:rsidR="008F376A" w:rsidRPr="00914002" w:rsidRDefault="008F376A" w:rsidP="00602F60">
      <w:pPr>
        <w:numPr>
          <w:ilvl w:val="0"/>
          <w:numId w:val="25"/>
        </w:numPr>
        <w:suppressAutoHyphens w:val="0"/>
        <w:spacing w:before="120" w:after="120" w:line="288" w:lineRule="auto"/>
        <w:contextualSpacing/>
        <w:rPr>
          <w:rFonts w:ascii="Arial" w:eastAsia="Calibri" w:hAnsi="Arial" w:cs="Arial"/>
          <w:lang w:eastAsia="en-AU"/>
        </w:rPr>
      </w:pPr>
      <w:r w:rsidRPr="00914002">
        <w:rPr>
          <w:rFonts w:ascii="Arial" w:eastAsia="Calibri" w:hAnsi="Arial" w:cs="Arial"/>
          <w:lang w:eastAsia="en-AU"/>
        </w:rPr>
        <w:t xml:space="preserve">Does your business have access to the necessary capability and capacity to </w:t>
      </w:r>
      <w:r w:rsidRPr="00704F42">
        <w:rPr>
          <w:rFonts w:ascii="Arial" w:eastAsia="Calibri" w:hAnsi="Arial" w:cs="Arial"/>
          <w:b/>
          <w:bCs/>
          <w:lang w:eastAsia="en-AU"/>
        </w:rPr>
        <w:t>deliver</w:t>
      </w:r>
      <w:r w:rsidRPr="00914002">
        <w:rPr>
          <w:rFonts w:ascii="Arial" w:eastAsia="Calibri" w:hAnsi="Arial" w:cs="Arial"/>
          <w:lang w:eastAsia="en-AU"/>
        </w:rPr>
        <w:t xml:space="preserve"> the required goods and or services?</w:t>
      </w:r>
    </w:p>
    <w:p w14:paraId="34A7C718" w14:textId="75A86211" w:rsidR="008F376A" w:rsidRPr="00914002" w:rsidRDefault="008F376A" w:rsidP="00602F60">
      <w:pPr>
        <w:numPr>
          <w:ilvl w:val="0"/>
          <w:numId w:val="25"/>
        </w:numPr>
        <w:suppressAutoHyphens w:val="0"/>
        <w:spacing w:before="120" w:after="120" w:line="288" w:lineRule="auto"/>
        <w:contextualSpacing/>
        <w:rPr>
          <w:rFonts w:ascii="Arial" w:eastAsia="Calibri" w:hAnsi="Arial" w:cs="Arial"/>
          <w:lang w:eastAsia="en-AU"/>
        </w:rPr>
      </w:pPr>
      <w:r w:rsidRPr="00914002">
        <w:rPr>
          <w:rFonts w:ascii="Arial" w:eastAsia="Calibri" w:hAnsi="Arial" w:cs="Arial"/>
          <w:lang w:eastAsia="en-AU"/>
        </w:rPr>
        <w:t xml:space="preserve">Are there any </w:t>
      </w:r>
      <w:r w:rsidRPr="00914002">
        <w:rPr>
          <w:rFonts w:ascii="Arial" w:eastAsia="Calibri" w:hAnsi="Arial" w:cs="Arial"/>
          <w:b/>
          <w:bCs/>
          <w:lang w:eastAsia="en-AU"/>
        </w:rPr>
        <w:t>briefings</w:t>
      </w:r>
      <w:r w:rsidRPr="00914002">
        <w:rPr>
          <w:rFonts w:ascii="Arial" w:eastAsia="Calibri" w:hAnsi="Arial" w:cs="Arial"/>
          <w:lang w:eastAsia="en-AU"/>
        </w:rPr>
        <w:t xml:space="preserve"> </w:t>
      </w:r>
      <w:r w:rsidR="003F5880" w:rsidRPr="00914002">
        <w:rPr>
          <w:rFonts w:ascii="Arial" w:eastAsia="Calibri" w:hAnsi="Arial" w:cs="Arial"/>
          <w:lang w:eastAsia="en-AU"/>
        </w:rPr>
        <w:t>offered,</w:t>
      </w:r>
      <w:r w:rsidRPr="00914002">
        <w:rPr>
          <w:rFonts w:ascii="Arial" w:eastAsia="Calibri" w:hAnsi="Arial" w:cs="Arial"/>
          <w:lang w:eastAsia="en-AU"/>
        </w:rPr>
        <w:t xml:space="preserve"> and can you attend?</w:t>
      </w:r>
    </w:p>
    <w:p w14:paraId="238DBE02" w14:textId="77777777" w:rsidR="008F376A" w:rsidRPr="00914002" w:rsidRDefault="008F376A" w:rsidP="00602F60">
      <w:pPr>
        <w:numPr>
          <w:ilvl w:val="0"/>
          <w:numId w:val="25"/>
        </w:numPr>
        <w:suppressAutoHyphens w:val="0"/>
        <w:spacing w:before="120" w:after="120" w:line="288" w:lineRule="auto"/>
        <w:contextualSpacing/>
        <w:rPr>
          <w:rFonts w:ascii="Arial" w:eastAsia="Calibri" w:hAnsi="Arial" w:cs="Arial"/>
          <w:lang w:eastAsia="en-AU"/>
        </w:rPr>
      </w:pPr>
      <w:r w:rsidRPr="00914002">
        <w:rPr>
          <w:rFonts w:ascii="Arial" w:eastAsia="Calibri" w:hAnsi="Arial" w:cs="Arial"/>
          <w:lang w:eastAsia="en-AU"/>
        </w:rPr>
        <w:t xml:space="preserve">Do you have the time and ability to meet the response </w:t>
      </w:r>
      <w:r w:rsidRPr="00914002">
        <w:rPr>
          <w:rFonts w:ascii="Arial" w:eastAsia="Calibri" w:hAnsi="Arial" w:cs="Arial"/>
          <w:b/>
          <w:bCs/>
          <w:lang w:eastAsia="en-AU"/>
        </w:rPr>
        <w:t>deadline</w:t>
      </w:r>
      <w:r w:rsidRPr="00914002">
        <w:rPr>
          <w:rFonts w:ascii="Arial" w:eastAsia="Calibri" w:hAnsi="Arial" w:cs="Arial"/>
          <w:lang w:eastAsia="en-AU"/>
        </w:rPr>
        <w:t>?</w:t>
      </w:r>
    </w:p>
    <w:p w14:paraId="0FBF27D9" w14:textId="77777777" w:rsidR="008F376A" w:rsidRPr="00914002" w:rsidRDefault="008F376A" w:rsidP="00602F60">
      <w:pPr>
        <w:numPr>
          <w:ilvl w:val="0"/>
          <w:numId w:val="25"/>
        </w:numPr>
        <w:suppressAutoHyphens w:val="0"/>
        <w:spacing w:before="120" w:after="120" w:line="288" w:lineRule="auto"/>
        <w:contextualSpacing/>
        <w:rPr>
          <w:rFonts w:ascii="Arial" w:eastAsia="Calibri" w:hAnsi="Arial" w:cs="Arial"/>
          <w:lang w:eastAsia="en-AU"/>
        </w:rPr>
      </w:pPr>
      <w:r w:rsidRPr="00914002">
        <w:rPr>
          <w:rFonts w:ascii="Arial" w:eastAsia="Calibri" w:hAnsi="Arial" w:cs="Arial"/>
          <w:lang w:eastAsia="en-AU"/>
        </w:rPr>
        <w:t>How, when, and where is the tender submission to be lodged?</w:t>
      </w:r>
    </w:p>
    <w:p w14:paraId="3368707F" w14:textId="77777777" w:rsidR="008F376A" w:rsidRPr="00914002" w:rsidRDefault="008F376A" w:rsidP="00602F60">
      <w:pPr>
        <w:numPr>
          <w:ilvl w:val="0"/>
          <w:numId w:val="25"/>
        </w:numPr>
        <w:suppressAutoHyphens w:val="0"/>
        <w:spacing w:before="120" w:after="120" w:line="288" w:lineRule="auto"/>
        <w:contextualSpacing/>
        <w:rPr>
          <w:rFonts w:ascii="Arial" w:eastAsia="Calibri" w:hAnsi="Arial" w:cs="Arial"/>
          <w:lang w:eastAsia="en-AU"/>
        </w:rPr>
      </w:pPr>
      <w:r w:rsidRPr="00914002">
        <w:rPr>
          <w:rFonts w:ascii="Arial" w:eastAsia="Calibri" w:hAnsi="Arial" w:cs="Arial"/>
          <w:lang w:eastAsia="en-AU"/>
        </w:rPr>
        <w:t xml:space="preserve">Do you have all </w:t>
      </w:r>
      <w:r w:rsidRPr="00914002">
        <w:rPr>
          <w:rFonts w:ascii="Arial" w:eastAsia="Calibri" w:hAnsi="Arial" w:cs="Arial"/>
          <w:b/>
          <w:bCs/>
          <w:lang w:eastAsia="en-AU"/>
        </w:rPr>
        <w:t>licences, required documentation, and evidence of compliance</w:t>
      </w:r>
      <w:r w:rsidRPr="00914002">
        <w:rPr>
          <w:rFonts w:ascii="Arial" w:eastAsia="Calibri" w:hAnsi="Arial" w:cs="Arial"/>
          <w:lang w:eastAsia="en-AU"/>
        </w:rPr>
        <w:t xml:space="preserve"> with relevant policies at hand and ready to include in your submission?</w:t>
      </w:r>
    </w:p>
    <w:p w14:paraId="48B0889C" w14:textId="77777777" w:rsidR="008F376A" w:rsidRPr="00914002" w:rsidRDefault="008F376A" w:rsidP="00602F60">
      <w:pPr>
        <w:spacing w:before="120" w:after="120" w:line="288" w:lineRule="auto"/>
        <w:ind w:left="360"/>
        <w:contextualSpacing/>
        <w:rPr>
          <w:rFonts w:ascii="Arial" w:eastAsia="Calibri" w:hAnsi="Arial" w:cs="Arial"/>
          <w:lang w:eastAsia="en-AU"/>
        </w:rPr>
      </w:pPr>
    </w:p>
    <w:p w14:paraId="183B21C6" w14:textId="6F802C18" w:rsidR="00EF0FA0" w:rsidRDefault="00910392" w:rsidP="00602F60">
      <w:pPr>
        <w:suppressAutoHyphens w:val="0"/>
        <w:spacing w:before="120" w:after="120" w:line="288" w:lineRule="auto"/>
      </w:pPr>
      <w:r>
        <w:rPr>
          <w:rFonts w:ascii="Arial" w:eastAsia="Times New Roman" w:hAnsi="Arial" w:cs="Arial"/>
          <w:lang w:eastAsia="en-AU"/>
        </w:rPr>
        <w:t>Your tender response must be</w:t>
      </w:r>
      <w:r w:rsidR="008F376A" w:rsidRPr="00914002">
        <w:rPr>
          <w:rFonts w:ascii="Arial" w:eastAsia="Times New Roman" w:hAnsi="Arial" w:cs="Arial"/>
          <w:lang w:eastAsia="en-AU"/>
        </w:rPr>
        <w:t xml:space="preserve"> compliant and complete. If </w:t>
      </w:r>
      <w:r w:rsidR="00B63ADE">
        <w:rPr>
          <w:rFonts w:ascii="Arial" w:eastAsia="Times New Roman" w:hAnsi="Arial" w:cs="Arial"/>
          <w:lang w:eastAsia="en-AU"/>
        </w:rPr>
        <w:t>y</w:t>
      </w:r>
      <w:r w:rsidR="008F376A" w:rsidRPr="00914002">
        <w:rPr>
          <w:rFonts w:ascii="Arial" w:eastAsia="Times New Roman" w:hAnsi="Arial" w:cs="Arial"/>
          <w:lang w:eastAsia="en-AU"/>
        </w:rPr>
        <w:t xml:space="preserve">our submission does not demonstrate compliance with mandatory requirements, your </w:t>
      </w:r>
      <w:r w:rsidR="00042623">
        <w:rPr>
          <w:rFonts w:ascii="Arial" w:eastAsia="Times New Roman" w:hAnsi="Arial" w:cs="Arial"/>
          <w:lang w:eastAsia="en-AU"/>
        </w:rPr>
        <w:t>s</w:t>
      </w:r>
      <w:r w:rsidR="008F376A" w:rsidRPr="00914002">
        <w:rPr>
          <w:rFonts w:ascii="Arial" w:eastAsia="Times New Roman" w:hAnsi="Arial" w:cs="Arial"/>
          <w:lang w:eastAsia="en-AU"/>
        </w:rPr>
        <w:t xml:space="preserve">ubmission can not be considered. Note the closing date for response and understand </w:t>
      </w:r>
      <w:r w:rsidR="009B7B31">
        <w:rPr>
          <w:rFonts w:ascii="Arial" w:eastAsia="Times New Roman" w:hAnsi="Arial" w:cs="Arial"/>
          <w:lang w:eastAsia="en-AU"/>
        </w:rPr>
        <w:t>the lodgement</w:t>
      </w:r>
      <w:r w:rsidR="008F376A" w:rsidRPr="00914002">
        <w:rPr>
          <w:rFonts w:ascii="Arial" w:eastAsia="Times New Roman" w:hAnsi="Arial" w:cs="Arial"/>
          <w:lang w:eastAsia="en-AU"/>
        </w:rPr>
        <w:t> time frames. You must meet the deadlines, as late tenders will not be accepted.</w:t>
      </w:r>
      <w:r w:rsidR="00EF0FA0">
        <w:br w:type="page"/>
      </w:r>
    </w:p>
    <w:p w14:paraId="202EB939" w14:textId="753D9336" w:rsidR="006A414D" w:rsidRDefault="006A414D" w:rsidP="006A414D">
      <w:pPr>
        <w:pStyle w:val="Heading1"/>
      </w:pPr>
      <w:bookmarkStart w:id="15" w:name="_Toc201582898"/>
      <w:r>
        <w:lastRenderedPageBreak/>
        <w:t>Review the A</w:t>
      </w:r>
      <w:bookmarkEnd w:id="15"/>
      <w:r w:rsidR="00602F60">
        <w:t>pproach to Market (ATM)</w:t>
      </w:r>
    </w:p>
    <w:p w14:paraId="6ACCCBFE" w14:textId="77777777" w:rsidR="00602F60" w:rsidRPr="00602F60" w:rsidRDefault="00602F60" w:rsidP="00602F60"/>
    <w:p w14:paraId="4C100BDB" w14:textId="758A605E" w:rsidR="00602F60" w:rsidRPr="00602F60" w:rsidRDefault="00602F60" w:rsidP="00602F60">
      <w:pPr>
        <w:pStyle w:val="Boxed1Text"/>
        <w:spacing w:before="120" w:after="120" w:line="288" w:lineRule="auto"/>
        <w:jc w:val="center"/>
      </w:pPr>
      <w:r w:rsidRPr="00602F60">
        <w:t>Review the ATM carefully</w:t>
      </w:r>
    </w:p>
    <w:p w14:paraId="73AD2861" w14:textId="3CEC3091" w:rsidR="006A414D" w:rsidRPr="00602F60" w:rsidRDefault="00EF0FA0" w:rsidP="00602F60">
      <w:pPr>
        <w:pStyle w:val="Boxed1Text"/>
        <w:spacing w:before="120" w:after="120" w:line="288" w:lineRule="auto"/>
        <w:jc w:val="center"/>
      </w:pPr>
      <w:r w:rsidRPr="00602F60">
        <w:t>If you do not meet the minimum requirements your response will not be considered.</w:t>
      </w:r>
    </w:p>
    <w:p w14:paraId="280367D1" w14:textId="2F00633F" w:rsidR="00EF0FA0" w:rsidRPr="006A414D" w:rsidRDefault="00EF0FA0" w:rsidP="00347893"/>
    <w:p w14:paraId="0914521B" w14:textId="5DE52798" w:rsidR="002F284E" w:rsidRPr="002F284E" w:rsidRDefault="002F284E" w:rsidP="00602F60">
      <w:pPr>
        <w:spacing w:before="120" w:after="120" w:line="288" w:lineRule="auto"/>
        <w:textAlignment w:val="baseline"/>
        <w:rPr>
          <w:rFonts w:eastAsia="Times New Roman" w:cstheme="minorHAnsi"/>
          <w:lang w:eastAsia="en-AU"/>
        </w:rPr>
      </w:pPr>
      <w:r w:rsidRPr="002F284E">
        <w:rPr>
          <w:rFonts w:eastAsia="Times New Roman" w:cstheme="minorHAnsi"/>
          <w:lang w:eastAsia="en-AU"/>
        </w:rPr>
        <w:t xml:space="preserve">If you choose to respond to an ATM, you should prepare a response that complies with the requirements specified in the ATM. Each ATM is different </w:t>
      </w:r>
      <w:r w:rsidR="000712F4">
        <w:rPr>
          <w:rFonts w:eastAsia="Times New Roman" w:cstheme="minorHAnsi"/>
          <w:lang w:eastAsia="en-AU"/>
        </w:rPr>
        <w:t>–</w:t>
      </w:r>
      <w:r w:rsidRPr="002F284E">
        <w:rPr>
          <w:rFonts w:eastAsia="Times New Roman" w:cstheme="minorHAnsi"/>
          <w:lang w:eastAsia="en-AU"/>
        </w:rPr>
        <w:t xml:space="preserve"> </w:t>
      </w:r>
      <w:r w:rsidR="000712F4">
        <w:rPr>
          <w:rFonts w:eastAsia="Times New Roman" w:cstheme="minorHAnsi"/>
          <w:lang w:eastAsia="en-AU"/>
        </w:rPr>
        <w:t xml:space="preserve">make sure you </w:t>
      </w:r>
      <w:r w:rsidRPr="002F284E">
        <w:rPr>
          <w:rFonts w:eastAsia="Times New Roman" w:cstheme="minorHAnsi"/>
          <w:lang w:eastAsia="en-AU"/>
        </w:rPr>
        <w:t>read the instructions and requirements carefully.</w:t>
      </w:r>
    </w:p>
    <w:p w14:paraId="6B9E939F" w14:textId="77777777" w:rsidR="002F284E" w:rsidRPr="002F284E" w:rsidRDefault="002F284E" w:rsidP="00602F60">
      <w:pPr>
        <w:numPr>
          <w:ilvl w:val="0"/>
          <w:numId w:val="26"/>
        </w:numPr>
        <w:suppressAutoHyphens w:val="0"/>
        <w:spacing w:before="120" w:after="120" w:line="288" w:lineRule="auto"/>
        <w:textAlignment w:val="baseline"/>
        <w:rPr>
          <w:rFonts w:eastAsia="Times New Roman" w:cstheme="minorHAnsi"/>
          <w:lang w:eastAsia="en-AU"/>
        </w:rPr>
      </w:pPr>
      <w:r w:rsidRPr="002F284E">
        <w:rPr>
          <w:rFonts w:eastAsia="Times New Roman" w:cstheme="minorHAnsi"/>
          <w:lang w:eastAsia="en-AU"/>
        </w:rPr>
        <w:t>Is it clear from the statement of requirements, what the organisation is seeking from the market?</w:t>
      </w:r>
    </w:p>
    <w:p w14:paraId="3D923558" w14:textId="77777777" w:rsidR="002F284E" w:rsidRPr="002F284E" w:rsidRDefault="002F284E" w:rsidP="00602F60">
      <w:pPr>
        <w:numPr>
          <w:ilvl w:val="1"/>
          <w:numId w:val="26"/>
        </w:numPr>
        <w:suppressAutoHyphens w:val="0"/>
        <w:spacing w:before="120" w:after="120" w:line="288" w:lineRule="auto"/>
        <w:textAlignment w:val="baseline"/>
        <w:rPr>
          <w:rFonts w:eastAsia="Times New Roman" w:cstheme="minorHAnsi"/>
          <w:lang w:eastAsia="en-AU"/>
        </w:rPr>
      </w:pPr>
      <w:r w:rsidRPr="002F284E">
        <w:rPr>
          <w:rFonts w:eastAsia="Times New Roman" w:cstheme="minorHAnsi"/>
          <w:lang w:eastAsia="en-AU"/>
        </w:rPr>
        <w:t>If not, ask questions.</w:t>
      </w:r>
    </w:p>
    <w:p w14:paraId="2D15511A" w14:textId="77777777" w:rsidR="002F284E" w:rsidRPr="002F284E" w:rsidRDefault="002F284E" w:rsidP="00602F60">
      <w:pPr>
        <w:numPr>
          <w:ilvl w:val="1"/>
          <w:numId w:val="26"/>
        </w:numPr>
        <w:suppressAutoHyphens w:val="0"/>
        <w:spacing w:before="120" w:after="120" w:line="288" w:lineRule="auto"/>
        <w:textAlignment w:val="baseline"/>
        <w:rPr>
          <w:rFonts w:eastAsia="Times New Roman" w:cstheme="minorHAnsi"/>
          <w:lang w:eastAsia="en-AU"/>
        </w:rPr>
      </w:pPr>
      <w:r w:rsidRPr="002F284E">
        <w:rPr>
          <w:rFonts w:eastAsia="Times New Roman" w:cstheme="minorHAnsi"/>
          <w:lang w:eastAsia="en-AU"/>
        </w:rPr>
        <w:t>Don’t assume anything. The more clarity you have, the more targeted your submission will be.</w:t>
      </w:r>
    </w:p>
    <w:p w14:paraId="25D52E02" w14:textId="77777777" w:rsidR="002F284E" w:rsidRPr="002F284E" w:rsidRDefault="002F284E" w:rsidP="00602F60">
      <w:pPr>
        <w:numPr>
          <w:ilvl w:val="1"/>
          <w:numId w:val="26"/>
        </w:numPr>
        <w:suppressAutoHyphens w:val="0"/>
        <w:spacing w:before="120" w:after="120" w:line="288" w:lineRule="auto"/>
        <w:textAlignment w:val="baseline"/>
        <w:rPr>
          <w:rFonts w:eastAsia="Times New Roman" w:cstheme="minorHAnsi"/>
          <w:lang w:eastAsia="en-AU"/>
        </w:rPr>
      </w:pPr>
      <w:r w:rsidRPr="002F284E">
        <w:rPr>
          <w:rFonts w:eastAsia="Times New Roman" w:cstheme="minorHAnsi"/>
          <w:lang w:eastAsia="en-AU"/>
        </w:rPr>
        <w:t>Some ATMs will specify a close off date for clarifications and questions so make sure to seek clarifications in time.</w:t>
      </w:r>
    </w:p>
    <w:p w14:paraId="7E52DB37" w14:textId="77777777" w:rsidR="002F284E" w:rsidRPr="002F284E" w:rsidRDefault="002F284E" w:rsidP="00602F60">
      <w:pPr>
        <w:numPr>
          <w:ilvl w:val="0"/>
          <w:numId w:val="26"/>
        </w:numPr>
        <w:suppressAutoHyphens w:val="0"/>
        <w:spacing w:before="120" w:after="120" w:line="288" w:lineRule="auto"/>
        <w:textAlignment w:val="baseline"/>
        <w:rPr>
          <w:rFonts w:eastAsia="Times New Roman" w:cstheme="minorHAnsi"/>
          <w:lang w:eastAsia="en-AU"/>
        </w:rPr>
      </w:pPr>
      <w:r w:rsidRPr="002F284E">
        <w:rPr>
          <w:rFonts w:eastAsia="Times New Roman" w:cstheme="minorHAnsi"/>
          <w:lang w:eastAsia="en-AU"/>
        </w:rPr>
        <w:t>What are the minimum content and format requirements?</w:t>
      </w:r>
    </w:p>
    <w:p w14:paraId="4BB0BAAD" w14:textId="77777777" w:rsidR="002F284E" w:rsidRPr="002F284E" w:rsidRDefault="002F284E" w:rsidP="00602F60">
      <w:pPr>
        <w:numPr>
          <w:ilvl w:val="0"/>
          <w:numId w:val="26"/>
        </w:numPr>
        <w:suppressAutoHyphens w:val="0"/>
        <w:spacing w:before="120" w:after="120" w:line="288" w:lineRule="auto"/>
        <w:textAlignment w:val="baseline"/>
        <w:rPr>
          <w:rFonts w:eastAsia="Times New Roman" w:cstheme="minorHAnsi"/>
          <w:lang w:eastAsia="en-AU"/>
        </w:rPr>
      </w:pPr>
      <w:r w:rsidRPr="002F284E">
        <w:rPr>
          <w:rFonts w:eastAsia="Times New Roman" w:cstheme="minorHAnsi"/>
          <w:lang w:eastAsia="en-AU"/>
        </w:rPr>
        <w:t>Are there any conditions for participation? </w:t>
      </w:r>
    </w:p>
    <w:p w14:paraId="55F655B0" w14:textId="77777777" w:rsidR="002F284E" w:rsidRPr="002F284E" w:rsidRDefault="002F284E" w:rsidP="00602F60">
      <w:pPr>
        <w:numPr>
          <w:ilvl w:val="0"/>
          <w:numId w:val="26"/>
        </w:numPr>
        <w:suppressAutoHyphens w:val="0"/>
        <w:spacing w:before="120" w:after="120" w:line="288" w:lineRule="auto"/>
        <w:textAlignment w:val="baseline"/>
        <w:rPr>
          <w:rFonts w:eastAsia="Times New Roman" w:cstheme="minorHAnsi"/>
          <w:lang w:eastAsia="en-AU"/>
        </w:rPr>
      </w:pPr>
      <w:r w:rsidRPr="002F284E">
        <w:rPr>
          <w:rFonts w:eastAsia="Times New Roman" w:cstheme="minorHAnsi"/>
          <w:lang w:eastAsia="en-AU"/>
        </w:rPr>
        <w:t>Do potential suppliers need to comply with other relevant legislation or policy?  For example, procurement connected policies</w:t>
      </w:r>
    </w:p>
    <w:p w14:paraId="66422EC8" w14:textId="2ECEBBD7" w:rsidR="002F284E" w:rsidRPr="002F284E" w:rsidRDefault="002F284E" w:rsidP="00602F60">
      <w:pPr>
        <w:numPr>
          <w:ilvl w:val="0"/>
          <w:numId w:val="26"/>
        </w:numPr>
        <w:suppressAutoHyphens w:val="0"/>
        <w:spacing w:before="120" w:after="120" w:line="288" w:lineRule="auto"/>
        <w:textAlignment w:val="baseline"/>
        <w:rPr>
          <w:rFonts w:eastAsia="Times New Roman" w:cstheme="minorHAnsi"/>
          <w:lang w:eastAsia="en-AU"/>
        </w:rPr>
      </w:pPr>
      <w:r w:rsidRPr="002F284E">
        <w:rPr>
          <w:rFonts w:eastAsia="Times New Roman" w:cstheme="minorHAnsi"/>
          <w:lang w:eastAsia="en-AU"/>
        </w:rPr>
        <w:t xml:space="preserve">What </w:t>
      </w:r>
      <w:r w:rsidR="00830C2E" w:rsidRPr="002F284E">
        <w:rPr>
          <w:rFonts w:eastAsia="Times New Roman" w:cstheme="minorHAnsi"/>
          <w:lang w:eastAsia="en-AU"/>
        </w:rPr>
        <w:t>are</w:t>
      </w:r>
      <w:r w:rsidRPr="002F284E">
        <w:rPr>
          <w:rFonts w:eastAsia="Times New Roman" w:cstheme="minorHAnsi"/>
          <w:lang w:eastAsia="en-AU"/>
        </w:rPr>
        <w:t xml:space="preserve"> the tender evaluation criteria and methodology? Understanding this can help you frame your response </w:t>
      </w:r>
    </w:p>
    <w:p w14:paraId="14099370" w14:textId="77777777" w:rsidR="002F284E" w:rsidRPr="002F284E" w:rsidRDefault="002F284E" w:rsidP="00602F60">
      <w:pPr>
        <w:numPr>
          <w:ilvl w:val="0"/>
          <w:numId w:val="26"/>
        </w:numPr>
        <w:suppressAutoHyphens w:val="0"/>
        <w:spacing w:before="120" w:after="120" w:line="288" w:lineRule="auto"/>
        <w:textAlignment w:val="baseline"/>
        <w:rPr>
          <w:rFonts w:eastAsia="Times New Roman" w:cstheme="minorHAnsi"/>
          <w:lang w:eastAsia="en-AU"/>
        </w:rPr>
      </w:pPr>
      <w:r w:rsidRPr="002F284E">
        <w:rPr>
          <w:rFonts w:eastAsia="Times New Roman" w:cstheme="minorHAnsi"/>
          <w:lang w:eastAsia="en-AU"/>
        </w:rPr>
        <w:t>Are there any required standards or specifications which must be applied or qualified in your response?</w:t>
      </w:r>
    </w:p>
    <w:p w14:paraId="14061D72" w14:textId="11AC97C1" w:rsidR="00347893" w:rsidRPr="000A71BB" w:rsidRDefault="002F284E" w:rsidP="000A71BB">
      <w:pPr>
        <w:pStyle w:val="ListParagraph"/>
        <w:numPr>
          <w:ilvl w:val="0"/>
          <w:numId w:val="26"/>
        </w:numPr>
        <w:spacing w:before="120" w:after="120" w:line="288" w:lineRule="auto"/>
        <w:rPr>
          <w:rFonts w:cstheme="minorHAnsi"/>
        </w:rPr>
      </w:pPr>
      <w:r w:rsidRPr="000A71BB">
        <w:rPr>
          <w:rFonts w:eastAsia="Times New Roman" w:cstheme="minorHAnsi"/>
          <w:lang w:eastAsia="en-AU"/>
        </w:rPr>
        <w:t>Have you linked what you propose to do or provide</w:t>
      </w:r>
      <w:r w:rsidR="00D540E3">
        <w:rPr>
          <w:rFonts w:eastAsia="Times New Roman" w:cstheme="minorHAnsi"/>
          <w:lang w:eastAsia="en-AU"/>
        </w:rPr>
        <w:t>,</w:t>
      </w:r>
      <w:r w:rsidRPr="000A71BB">
        <w:rPr>
          <w:rFonts w:eastAsia="Times New Roman" w:cstheme="minorHAnsi"/>
          <w:lang w:eastAsia="en-AU"/>
        </w:rPr>
        <w:t xml:space="preserve"> to what the government is seeking to achieve</w:t>
      </w:r>
      <w:r w:rsidR="000A71BB" w:rsidRPr="000A71BB">
        <w:rPr>
          <w:rFonts w:eastAsia="Times New Roman" w:cstheme="minorHAnsi"/>
          <w:lang w:eastAsia="en-AU"/>
        </w:rPr>
        <w:t>?</w:t>
      </w:r>
    </w:p>
    <w:p w14:paraId="49BF267A" w14:textId="0C00C159" w:rsidR="007C2B5F" w:rsidRDefault="007C2B5F" w:rsidP="00E64CE9">
      <w:pPr>
        <w:spacing w:after="360"/>
      </w:pPr>
      <w:r>
        <w:br w:type="page"/>
      </w:r>
    </w:p>
    <w:p w14:paraId="700FE74C" w14:textId="01439783" w:rsidR="00584771" w:rsidRPr="005A3DD4" w:rsidRDefault="00584771" w:rsidP="009A4288">
      <w:pPr>
        <w:pStyle w:val="Heading1"/>
      </w:pPr>
      <w:bookmarkStart w:id="16" w:name="_Toc201582899"/>
      <w:r w:rsidRPr="005A3DD4">
        <w:lastRenderedPageBreak/>
        <w:t>Procurement Connected Policies</w:t>
      </w:r>
      <w:bookmarkEnd w:id="16"/>
    </w:p>
    <w:p w14:paraId="32CD63C4" w14:textId="77777777" w:rsidR="00D06250" w:rsidRPr="00D06250" w:rsidRDefault="00966B8E" w:rsidP="00103B0A">
      <w:pPr>
        <w:spacing w:before="120" w:after="120" w:line="288" w:lineRule="auto"/>
        <w:rPr>
          <w:rFonts w:cstheme="minorHAnsi"/>
        </w:rPr>
      </w:pPr>
      <w:r w:rsidRPr="00D06250">
        <w:rPr>
          <w:rFonts w:cstheme="minorHAnsi"/>
          <w:b/>
          <w:bCs/>
        </w:rPr>
        <w:t xml:space="preserve">Procurement Connected Policies </w:t>
      </w:r>
      <w:r w:rsidRPr="00D06250">
        <w:rPr>
          <w:rFonts w:cstheme="minorHAnsi"/>
        </w:rPr>
        <w:t xml:space="preserve">(PCPs) place minimum requirements on businesses responding to tenders. </w:t>
      </w:r>
      <w:r w:rsidR="00BD499A" w:rsidRPr="00D06250">
        <w:rPr>
          <w:rFonts w:eastAsia="Times New Roman" w:cstheme="minorHAnsi"/>
          <w:lang w:eastAsia="en-AU"/>
        </w:rPr>
        <w:t xml:space="preserve">There are a number of Australian Government </w:t>
      </w:r>
      <w:r w:rsidR="00BD499A" w:rsidRPr="00D06250">
        <w:rPr>
          <w:rFonts w:eastAsia="Times New Roman" w:cstheme="minorHAnsi"/>
          <w:b/>
          <w:bCs/>
          <w:lang w:eastAsia="en-AU"/>
        </w:rPr>
        <w:t>procurement connected policies</w:t>
      </w:r>
      <w:r w:rsidR="00BD499A" w:rsidRPr="00D06250">
        <w:rPr>
          <w:rFonts w:eastAsia="Times New Roman" w:cstheme="minorHAnsi"/>
          <w:lang w:eastAsia="en-AU"/>
        </w:rPr>
        <w:t xml:space="preserve"> which are designed to achieve broader policy outcomes beyond the procurement requirement. Where these policies are relevant, the requirements will be specified in ATM documentation. There are value thresholds or other criteria that determine whether a policy applies.</w:t>
      </w:r>
      <w:r w:rsidR="00D06250" w:rsidRPr="00D06250">
        <w:rPr>
          <w:rFonts w:eastAsia="Times New Roman" w:cstheme="minorHAnsi"/>
          <w:lang w:eastAsia="en-AU"/>
        </w:rPr>
        <w:t xml:space="preserve"> </w:t>
      </w:r>
      <w:r w:rsidR="00D06250" w:rsidRPr="00D06250">
        <w:rPr>
          <w:rFonts w:cstheme="minorHAnsi"/>
        </w:rPr>
        <w:t xml:space="preserve">You </w:t>
      </w:r>
      <w:r w:rsidR="00D06250" w:rsidRPr="00D06250">
        <w:rPr>
          <w:rFonts w:cstheme="minorHAnsi"/>
          <w:b/>
          <w:bCs/>
        </w:rPr>
        <w:t xml:space="preserve">must </w:t>
      </w:r>
      <w:r w:rsidR="00D06250" w:rsidRPr="00D06250">
        <w:rPr>
          <w:rFonts w:cstheme="minorHAnsi"/>
        </w:rPr>
        <w:t>meet these minimum requirements to be considered for the work.</w:t>
      </w:r>
    </w:p>
    <w:p w14:paraId="4F8DB3A7" w14:textId="0C7932F8" w:rsidR="00BD499A" w:rsidRPr="00605C4E" w:rsidRDefault="00BD499A" w:rsidP="0028474D">
      <w:pPr>
        <w:spacing w:before="120" w:after="120" w:line="288" w:lineRule="auto"/>
        <w:textAlignment w:val="baseline"/>
        <w:rPr>
          <w:rFonts w:ascii="Calibri" w:eastAsia="Times New Roman" w:hAnsi="Calibri" w:cs="Calibri"/>
          <w:lang w:eastAsia="en-AU"/>
        </w:rPr>
      </w:pPr>
    </w:p>
    <w:p w14:paraId="25AF3092" w14:textId="20BA9AE4" w:rsidR="00EF0FA0" w:rsidRDefault="001609E8" w:rsidP="0028474D">
      <w:pPr>
        <w:spacing w:before="120" w:after="120" w:line="288" w:lineRule="auto"/>
        <w:rPr>
          <w:b/>
          <w:bCs/>
        </w:rPr>
      </w:pPr>
      <w:r w:rsidRPr="001609E8">
        <w:rPr>
          <w:b/>
          <w:bCs/>
        </w:rPr>
        <w:t>PCPs that may be relevant to your business</w:t>
      </w:r>
    </w:p>
    <w:p w14:paraId="4459A4CB" w14:textId="7D18EB87" w:rsidR="001609E8" w:rsidRPr="00A9494A" w:rsidRDefault="002B539F" w:rsidP="00A9494A">
      <w:pPr>
        <w:pBdr>
          <w:top w:val="single" w:sz="4" w:space="1" w:color="auto"/>
          <w:left w:val="single" w:sz="4" w:space="4" w:color="auto"/>
          <w:bottom w:val="single" w:sz="4" w:space="13" w:color="auto"/>
          <w:right w:val="single" w:sz="4" w:space="4" w:color="auto"/>
          <w:between w:val="single" w:sz="4" w:space="1" w:color="auto"/>
          <w:bar w:val="single" w:sz="4" w:color="auto"/>
        </w:pBdr>
        <w:spacing w:before="120" w:after="120" w:line="288" w:lineRule="auto"/>
      </w:pPr>
      <w:r w:rsidRPr="00A9494A">
        <w:t>Workplace Gender Equality Procurement Principles</w:t>
      </w:r>
    </w:p>
    <w:p w14:paraId="59982202" w14:textId="0701CE0A" w:rsidR="002B539F" w:rsidRPr="00A9494A" w:rsidRDefault="002B539F" w:rsidP="00A9494A">
      <w:pPr>
        <w:pBdr>
          <w:top w:val="single" w:sz="4" w:space="1" w:color="auto"/>
          <w:left w:val="single" w:sz="4" w:space="4" w:color="auto"/>
          <w:bottom w:val="single" w:sz="4" w:space="13" w:color="auto"/>
          <w:right w:val="single" w:sz="4" w:space="4" w:color="auto"/>
          <w:between w:val="single" w:sz="4" w:space="1" w:color="auto"/>
          <w:bar w:val="single" w:sz="4" w:color="auto"/>
        </w:pBdr>
        <w:spacing w:before="120" w:after="120" w:line="288" w:lineRule="auto"/>
      </w:pPr>
      <w:r w:rsidRPr="00A9494A">
        <w:t>Indigenous Procurement Policy</w:t>
      </w:r>
    </w:p>
    <w:p w14:paraId="11A59059" w14:textId="15CB3639" w:rsidR="002B539F" w:rsidRPr="00A9494A" w:rsidRDefault="002B539F" w:rsidP="00A9494A">
      <w:pPr>
        <w:pBdr>
          <w:top w:val="single" w:sz="4" w:space="1" w:color="auto"/>
          <w:left w:val="single" w:sz="4" w:space="4" w:color="auto"/>
          <w:bottom w:val="single" w:sz="4" w:space="13" w:color="auto"/>
          <w:right w:val="single" w:sz="4" w:space="4" w:color="auto"/>
          <w:between w:val="single" w:sz="4" w:space="1" w:color="auto"/>
          <w:bar w:val="single" w:sz="4" w:color="auto"/>
        </w:pBdr>
        <w:spacing w:before="120" w:after="120" w:line="288" w:lineRule="auto"/>
      </w:pPr>
      <w:r w:rsidRPr="00A9494A">
        <w:t>Australian Industry Participation</w:t>
      </w:r>
    </w:p>
    <w:p w14:paraId="78380A73" w14:textId="58A2CF09" w:rsidR="006A160B" w:rsidRPr="00A9494A" w:rsidRDefault="006A160B" w:rsidP="00A9494A">
      <w:pPr>
        <w:pBdr>
          <w:top w:val="single" w:sz="4" w:space="1" w:color="auto"/>
          <w:left w:val="single" w:sz="4" w:space="4" w:color="auto"/>
          <w:bottom w:val="single" w:sz="4" w:space="13" w:color="auto"/>
          <w:right w:val="single" w:sz="4" w:space="4" w:color="auto"/>
          <w:between w:val="single" w:sz="4" w:space="1" w:color="auto"/>
          <w:bar w:val="single" w:sz="4" w:color="auto"/>
        </w:pBdr>
        <w:spacing w:before="120" w:after="120" w:line="288" w:lineRule="auto"/>
      </w:pPr>
      <w:r w:rsidRPr="00A9494A">
        <w:t>Australian Skills Guarantee</w:t>
      </w:r>
    </w:p>
    <w:p w14:paraId="468CF0AE" w14:textId="65DA5D46" w:rsidR="006A160B" w:rsidRPr="00A9494A" w:rsidRDefault="006A160B" w:rsidP="00A9494A">
      <w:pPr>
        <w:pBdr>
          <w:top w:val="single" w:sz="4" w:space="1" w:color="auto"/>
          <w:left w:val="single" w:sz="4" w:space="4" w:color="auto"/>
          <w:bottom w:val="single" w:sz="4" w:space="13" w:color="auto"/>
          <w:right w:val="single" w:sz="4" w:space="4" w:color="auto"/>
          <w:between w:val="single" w:sz="4" w:space="1" w:color="auto"/>
          <w:bar w:val="single" w:sz="4" w:color="auto"/>
        </w:pBdr>
        <w:spacing w:before="120" w:after="120" w:line="288" w:lineRule="auto"/>
      </w:pPr>
      <w:r w:rsidRPr="00A9494A">
        <w:t>Payment Times PCP</w:t>
      </w:r>
    </w:p>
    <w:p w14:paraId="21ABD82B" w14:textId="4373007F" w:rsidR="006A160B" w:rsidRPr="00A9494A" w:rsidRDefault="000969CF" w:rsidP="00A9494A">
      <w:pPr>
        <w:pBdr>
          <w:top w:val="single" w:sz="4" w:space="1" w:color="auto"/>
          <w:left w:val="single" w:sz="4" w:space="4" w:color="auto"/>
          <w:bottom w:val="single" w:sz="4" w:space="13" w:color="auto"/>
          <w:right w:val="single" w:sz="4" w:space="4" w:color="auto"/>
          <w:between w:val="single" w:sz="4" w:space="1" w:color="auto"/>
          <w:bar w:val="single" w:sz="4" w:color="auto"/>
        </w:pBdr>
        <w:spacing w:before="120" w:after="120" w:line="288" w:lineRule="auto"/>
      </w:pPr>
      <w:r>
        <w:t xml:space="preserve">Environmentally </w:t>
      </w:r>
      <w:r w:rsidR="006A160B" w:rsidRPr="00A9494A">
        <w:t>Sustainable Procurement Policy</w:t>
      </w:r>
    </w:p>
    <w:p w14:paraId="7570EA25" w14:textId="66095428" w:rsidR="006A160B" w:rsidRPr="00A9494A" w:rsidRDefault="006A160B" w:rsidP="00A9494A">
      <w:pPr>
        <w:pBdr>
          <w:top w:val="single" w:sz="4" w:space="1" w:color="auto"/>
          <w:left w:val="single" w:sz="4" w:space="4" w:color="auto"/>
          <w:bottom w:val="single" w:sz="4" w:space="13" w:color="auto"/>
          <w:right w:val="single" w:sz="4" w:space="4" w:color="auto"/>
          <w:between w:val="single" w:sz="4" w:space="1" w:color="auto"/>
          <w:bar w:val="single" w:sz="4" w:color="auto"/>
        </w:pBdr>
        <w:spacing w:before="120" w:after="120" w:line="288" w:lineRule="auto"/>
      </w:pPr>
      <w:r w:rsidRPr="00A9494A">
        <w:t>Shadow Economy PCP</w:t>
      </w:r>
    </w:p>
    <w:p w14:paraId="2A0D03C8" w14:textId="5E214219" w:rsidR="009534B3" w:rsidRDefault="009534B3" w:rsidP="009534B3">
      <w:pPr>
        <w:pStyle w:val="Boxed3Text"/>
      </w:pPr>
      <w:r w:rsidRPr="009534B3">
        <w:t xml:space="preserve">Detailed information on these policies are available on </w:t>
      </w:r>
      <w:hyperlink r:id="rId22" w:history="1">
        <w:r w:rsidRPr="004D57C4">
          <w:rPr>
            <w:rStyle w:val="Hyperlink"/>
            <w:rFonts w:cstheme="minorBidi"/>
          </w:rPr>
          <w:t>sellingtogov.finance.gov.au</w:t>
        </w:r>
      </w:hyperlink>
      <w:r w:rsidR="00AD39AA">
        <w:t xml:space="preserve"> </w:t>
      </w:r>
    </w:p>
    <w:p w14:paraId="4ECACF56" w14:textId="77777777" w:rsidR="000062CF" w:rsidRDefault="000062CF" w:rsidP="00C32D23">
      <w:pPr>
        <w:spacing w:before="120" w:after="120" w:line="288" w:lineRule="auto"/>
        <w:textAlignment w:val="baseline"/>
        <w:rPr>
          <w:rFonts w:eastAsia="Times New Roman" w:cstheme="minorHAnsi"/>
          <w:lang w:eastAsia="en-AU"/>
        </w:rPr>
      </w:pPr>
      <w:bookmarkStart w:id="17" w:name="_Toc155860417"/>
    </w:p>
    <w:p w14:paraId="4184A359" w14:textId="24605F86" w:rsidR="00ED5E86" w:rsidRPr="00C32D23" w:rsidRDefault="00ED5E86" w:rsidP="00A9494A">
      <w:pPr>
        <w:spacing w:before="120" w:after="120" w:line="288" w:lineRule="auto"/>
        <w:textAlignment w:val="baseline"/>
        <w:rPr>
          <w:rFonts w:eastAsia="Times New Roman" w:cstheme="minorHAnsi"/>
          <w:lang w:eastAsia="en-AU"/>
        </w:rPr>
      </w:pPr>
      <w:r w:rsidRPr="00C32D23">
        <w:rPr>
          <w:rFonts w:eastAsia="Times New Roman" w:cstheme="minorHAnsi"/>
          <w:lang w:eastAsia="en-AU"/>
        </w:rPr>
        <w:t>There is one PCP</w:t>
      </w:r>
      <w:r w:rsidR="009E5DC2">
        <w:rPr>
          <w:rFonts w:eastAsia="Times New Roman" w:cstheme="minorHAnsi"/>
          <w:lang w:eastAsia="en-AU"/>
        </w:rPr>
        <w:t xml:space="preserve">, </w:t>
      </w:r>
      <w:r w:rsidRPr="00C32D23">
        <w:rPr>
          <w:rFonts w:eastAsia="Times New Roman" w:cstheme="minorHAnsi"/>
          <w:lang w:eastAsia="en-AU"/>
        </w:rPr>
        <w:t xml:space="preserve">to draw your attention to - the </w:t>
      </w:r>
      <w:r w:rsidRPr="00C32D23">
        <w:rPr>
          <w:rFonts w:eastAsia="Times New Roman" w:cstheme="minorHAnsi"/>
          <w:b/>
          <w:bCs/>
          <w:lang w:eastAsia="en-AU"/>
        </w:rPr>
        <w:t>Shadow Economy PCP</w:t>
      </w:r>
      <w:r w:rsidR="00C32D23" w:rsidRPr="00C32D23">
        <w:rPr>
          <w:rFonts w:eastAsia="Times New Roman" w:cstheme="minorHAnsi"/>
          <w:b/>
          <w:bCs/>
          <w:lang w:eastAsia="en-AU"/>
        </w:rPr>
        <w:t>.</w:t>
      </w:r>
    </w:p>
    <w:p w14:paraId="187B6BAB" w14:textId="77777777" w:rsidR="00ED5E86" w:rsidRPr="00C32D23" w:rsidRDefault="00ED5E86" w:rsidP="00A9494A">
      <w:pPr>
        <w:spacing w:before="120" w:after="120" w:line="288" w:lineRule="auto"/>
        <w:textAlignment w:val="baseline"/>
        <w:rPr>
          <w:rFonts w:eastAsia="Times New Roman" w:cstheme="minorHAnsi"/>
          <w:lang w:eastAsia="en-AU"/>
        </w:rPr>
      </w:pPr>
      <w:r w:rsidRPr="00C32D23">
        <w:rPr>
          <w:rFonts w:eastAsia="Times New Roman" w:cstheme="minorHAnsi"/>
          <w:lang w:eastAsia="en-AU"/>
        </w:rPr>
        <w:t xml:space="preserve">Businesses tendering for procurements valued at or above $4 million including GST, are required to provide a valid Statement of Tax Record from the Australian Taxation Office showing they have a valid satisfactory tax record. Please note that the policy prohibits the Australian Government from entering into a relevant contract with a business who cannot meet the requirements outlined in the policy. </w:t>
      </w:r>
    </w:p>
    <w:p w14:paraId="51DE4CE5" w14:textId="77777777" w:rsidR="00ED5E86" w:rsidRPr="00C32D23" w:rsidRDefault="00ED5E86" w:rsidP="00A9494A">
      <w:pPr>
        <w:spacing w:before="120" w:after="120" w:line="288" w:lineRule="auto"/>
        <w:textAlignment w:val="baseline"/>
        <w:rPr>
          <w:rFonts w:eastAsia="Times New Roman" w:cstheme="minorHAnsi"/>
          <w:lang w:eastAsia="en-AU"/>
        </w:rPr>
      </w:pPr>
      <w:r w:rsidRPr="00C32D23">
        <w:rPr>
          <w:rFonts w:eastAsia="Times New Roman" w:cstheme="minorHAnsi"/>
          <w:lang w:eastAsia="en-AU"/>
        </w:rPr>
        <w:t xml:space="preserve">This policy applies to open tenders and when awarded a contract, suppliers are required to maintain a valid and satisfactory Statement of Tax Record during the course of the contract. </w:t>
      </w:r>
    </w:p>
    <w:p w14:paraId="5838DBDC" w14:textId="77777777" w:rsidR="00ED5E86" w:rsidRPr="00C32D23" w:rsidRDefault="00ED5E86" w:rsidP="00A9494A">
      <w:pPr>
        <w:spacing w:before="120" w:after="120" w:line="288" w:lineRule="auto"/>
        <w:textAlignment w:val="baseline"/>
        <w:rPr>
          <w:rFonts w:eastAsia="Times New Roman" w:cstheme="minorHAnsi"/>
          <w:lang w:eastAsia="en-AU"/>
        </w:rPr>
      </w:pPr>
      <w:r w:rsidRPr="00C32D23">
        <w:rPr>
          <w:rFonts w:eastAsia="Times New Roman" w:cstheme="minorHAnsi"/>
          <w:b/>
          <w:bCs/>
          <w:lang w:eastAsia="en-AU"/>
        </w:rPr>
        <w:t xml:space="preserve">Note: </w:t>
      </w:r>
      <w:r w:rsidRPr="00C32D23">
        <w:rPr>
          <w:rFonts w:eastAsia="Times New Roman" w:cstheme="minorHAnsi"/>
          <w:lang w:eastAsia="en-AU"/>
        </w:rPr>
        <w:t>this requirement is often included in ATMs to establish or refresh panel arrangements.</w:t>
      </w:r>
    </w:p>
    <w:p w14:paraId="23359538" w14:textId="395CFED3" w:rsidR="00ED5E86" w:rsidRPr="00C32D23" w:rsidRDefault="00C32D23" w:rsidP="00A9494A">
      <w:pPr>
        <w:spacing w:before="120" w:after="120" w:line="288" w:lineRule="auto"/>
        <w:textAlignment w:val="baseline"/>
        <w:rPr>
          <w:rFonts w:eastAsia="Times New Roman" w:cstheme="minorHAnsi"/>
          <w:lang w:eastAsia="en-AU"/>
        </w:rPr>
      </w:pPr>
      <w:r w:rsidRPr="00C32D23">
        <w:rPr>
          <w:rFonts w:eastAsia="Times New Roman" w:cstheme="minorHAnsi"/>
          <w:lang w:eastAsia="en-AU"/>
        </w:rPr>
        <w:t xml:space="preserve">This one is important because it is often required to get onto a panel arrangement. Once you have it, it is valid for 12 months and is simple to renew. If you plan to get onto a </w:t>
      </w:r>
      <w:r w:rsidR="005B2929" w:rsidRPr="00C32D23">
        <w:rPr>
          <w:rFonts w:eastAsia="Times New Roman" w:cstheme="minorHAnsi"/>
          <w:lang w:eastAsia="en-AU"/>
        </w:rPr>
        <w:t>panel,</w:t>
      </w:r>
      <w:r w:rsidRPr="00C32D23">
        <w:rPr>
          <w:rFonts w:eastAsia="Times New Roman" w:cstheme="minorHAnsi"/>
          <w:lang w:eastAsia="en-AU"/>
        </w:rPr>
        <w:t xml:space="preserve"> then it is important to </w:t>
      </w:r>
      <w:r w:rsidR="00FB6CDE">
        <w:rPr>
          <w:rFonts w:eastAsia="Times New Roman" w:cstheme="minorHAnsi"/>
          <w:lang w:eastAsia="en-AU"/>
        </w:rPr>
        <w:t>obtain your Statement of Tax Record</w:t>
      </w:r>
      <w:r w:rsidRPr="00C32D23">
        <w:rPr>
          <w:rFonts w:eastAsia="Times New Roman" w:cstheme="minorHAnsi"/>
          <w:lang w:eastAsia="en-AU"/>
        </w:rPr>
        <w:t xml:space="preserve"> sooner </w:t>
      </w:r>
      <w:r w:rsidR="00FB6CDE">
        <w:rPr>
          <w:rFonts w:eastAsia="Times New Roman" w:cstheme="minorHAnsi"/>
          <w:lang w:eastAsia="en-AU"/>
        </w:rPr>
        <w:t xml:space="preserve">rather </w:t>
      </w:r>
      <w:r w:rsidRPr="00C32D23">
        <w:rPr>
          <w:rFonts w:eastAsia="Times New Roman" w:cstheme="minorHAnsi"/>
          <w:lang w:eastAsia="en-AU"/>
        </w:rPr>
        <w:t>than later</w:t>
      </w:r>
      <w:r w:rsidR="00907038">
        <w:rPr>
          <w:rFonts w:eastAsia="Times New Roman" w:cstheme="minorHAnsi"/>
          <w:lang w:eastAsia="en-AU"/>
        </w:rPr>
        <w:t>,</w:t>
      </w:r>
      <w:r w:rsidRPr="00C32D23">
        <w:rPr>
          <w:rFonts w:eastAsia="Times New Roman" w:cstheme="minorHAnsi"/>
          <w:lang w:eastAsia="en-AU"/>
        </w:rPr>
        <w:t xml:space="preserve"> so you don’t get caught out and miss out on </w:t>
      </w:r>
      <w:r w:rsidR="00907038">
        <w:rPr>
          <w:rFonts w:eastAsia="Times New Roman" w:cstheme="minorHAnsi"/>
          <w:lang w:eastAsia="en-AU"/>
        </w:rPr>
        <w:t xml:space="preserve">any </w:t>
      </w:r>
      <w:r w:rsidRPr="00C32D23">
        <w:rPr>
          <w:rFonts w:eastAsia="Times New Roman" w:cstheme="minorHAnsi"/>
          <w:lang w:eastAsia="en-AU"/>
        </w:rPr>
        <w:t>opportunities.</w:t>
      </w:r>
    </w:p>
    <w:p w14:paraId="778E25B1" w14:textId="77777777" w:rsidR="00ED5E86" w:rsidRPr="00ED5E86" w:rsidRDefault="00ED5E86" w:rsidP="00ED5E86">
      <w:pPr>
        <w:spacing w:before="120" w:after="0" w:line="360" w:lineRule="auto"/>
        <w:textAlignment w:val="baseline"/>
        <w:rPr>
          <w:rFonts w:eastAsia="Times New Roman" w:cstheme="minorHAnsi"/>
          <w:lang w:eastAsia="en-AU"/>
        </w:rPr>
      </w:pPr>
    </w:p>
    <w:p w14:paraId="16C3FB00" w14:textId="77777777" w:rsidR="00ED5E86" w:rsidRPr="00ED5E86" w:rsidRDefault="00ED5E86" w:rsidP="00ED5E86">
      <w:pPr>
        <w:rPr>
          <w:lang w:eastAsia="en-AU"/>
        </w:rPr>
      </w:pPr>
    </w:p>
    <w:p w14:paraId="4920215B" w14:textId="730F65A2" w:rsidR="007D7C94" w:rsidRPr="009A4288" w:rsidRDefault="007D7C94" w:rsidP="009A4288">
      <w:pPr>
        <w:pStyle w:val="Heading1"/>
      </w:pPr>
      <w:bookmarkStart w:id="18" w:name="_Toc201582900"/>
      <w:r w:rsidRPr="009A4288">
        <w:lastRenderedPageBreak/>
        <w:t>Questions</w:t>
      </w:r>
      <w:bookmarkEnd w:id="18"/>
    </w:p>
    <w:p w14:paraId="7C37396B" w14:textId="77777777" w:rsidR="005743E4" w:rsidRPr="005743E4" w:rsidRDefault="005743E4" w:rsidP="00783570">
      <w:pPr>
        <w:spacing w:before="120" w:after="120" w:line="288" w:lineRule="auto"/>
        <w:textAlignment w:val="baseline"/>
        <w:rPr>
          <w:rFonts w:ascii="Arial" w:eastAsia="Times New Roman" w:hAnsi="Arial" w:cs="Arial"/>
          <w:lang w:eastAsia="en-AU"/>
        </w:rPr>
      </w:pPr>
      <w:r w:rsidRPr="005743E4">
        <w:rPr>
          <w:rFonts w:ascii="Arial" w:eastAsia="Times New Roman" w:hAnsi="Arial" w:cs="Arial"/>
          <w:lang w:eastAsia="en-AU"/>
        </w:rPr>
        <w:t xml:space="preserve">ATM documents will include information about how to seek clarifications. They will also include a nominated point of contact. If you have questions about the ATM while it is out to market, you can ask questions and have them answered. </w:t>
      </w:r>
    </w:p>
    <w:p w14:paraId="6DA2A69E" w14:textId="77777777" w:rsidR="005743E4" w:rsidRPr="005743E4" w:rsidRDefault="005743E4" w:rsidP="00783570">
      <w:pPr>
        <w:spacing w:before="120" w:after="120" w:line="288" w:lineRule="auto"/>
        <w:textAlignment w:val="baseline"/>
        <w:rPr>
          <w:rFonts w:ascii="Arial" w:eastAsia="Times New Roman" w:hAnsi="Arial" w:cs="Arial"/>
          <w:lang w:eastAsia="en-AU"/>
        </w:rPr>
      </w:pPr>
      <w:r w:rsidRPr="005743E4">
        <w:rPr>
          <w:rFonts w:ascii="Arial" w:eastAsia="Times New Roman" w:hAnsi="Arial" w:cs="Arial"/>
          <w:lang w:eastAsia="en-AU"/>
        </w:rPr>
        <w:t xml:space="preserve">Many ATMs will include a close-out time for questions. Make sure to submit any questions or requests for clarification well in advance of the close-out time. </w:t>
      </w:r>
    </w:p>
    <w:p w14:paraId="13DEF935" w14:textId="77777777" w:rsidR="005743E4" w:rsidRPr="005743E4" w:rsidRDefault="005743E4" w:rsidP="00783570">
      <w:pPr>
        <w:spacing w:before="120" w:after="120" w:line="288" w:lineRule="auto"/>
        <w:textAlignment w:val="baseline"/>
        <w:rPr>
          <w:rFonts w:ascii="Arial" w:eastAsia="Times New Roman" w:hAnsi="Arial" w:cs="Arial"/>
          <w:lang w:eastAsia="en-AU"/>
        </w:rPr>
      </w:pPr>
      <w:r w:rsidRPr="005743E4">
        <w:rPr>
          <w:rFonts w:ascii="Arial" w:eastAsia="Times New Roman" w:hAnsi="Arial" w:cs="Arial"/>
          <w:lang w:eastAsia="en-AU"/>
        </w:rPr>
        <w:t xml:space="preserve">When asking questions, please be aware that while you won’t be identified, your question and the answer will be provided to interested parties (this would typically be all AusTender registered users who downloaded ATM documents). </w:t>
      </w:r>
    </w:p>
    <w:p w14:paraId="6C0B18D4" w14:textId="77777777" w:rsidR="005743E4" w:rsidRPr="005743E4" w:rsidRDefault="005743E4" w:rsidP="00783570">
      <w:pPr>
        <w:spacing w:before="120" w:after="120" w:line="288" w:lineRule="auto"/>
        <w:textAlignment w:val="baseline"/>
        <w:rPr>
          <w:rFonts w:ascii="Arial" w:eastAsia="Times New Roman" w:hAnsi="Arial" w:cs="Arial"/>
          <w:lang w:eastAsia="en-AU"/>
        </w:rPr>
      </w:pPr>
      <w:r w:rsidRPr="005743E4">
        <w:rPr>
          <w:rFonts w:ascii="Arial" w:eastAsia="Times New Roman" w:hAnsi="Arial" w:cs="Arial"/>
          <w:lang w:eastAsia="en-AU"/>
        </w:rPr>
        <w:t xml:space="preserve">Addenda form part of the ATM documents and must be considered and / or addressed when developing your submission. </w:t>
      </w:r>
    </w:p>
    <w:p w14:paraId="00C46E29" w14:textId="77777777" w:rsidR="005743E4" w:rsidRPr="005743E4" w:rsidRDefault="005743E4" w:rsidP="00783570">
      <w:pPr>
        <w:spacing w:before="120" w:after="120" w:line="288" w:lineRule="auto"/>
        <w:textAlignment w:val="baseline"/>
        <w:rPr>
          <w:rFonts w:ascii="Arial" w:eastAsia="Times New Roman" w:hAnsi="Arial" w:cs="Arial"/>
          <w:lang w:eastAsia="en-AU"/>
        </w:rPr>
      </w:pPr>
      <w:r w:rsidRPr="005743E4">
        <w:rPr>
          <w:rFonts w:ascii="Arial" w:eastAsia="Times New Roman" w:hAnsi="Arial" w:cs="Arial"/>
          <w:lang w:eastAsia="en-AU"/>
        </w:rPr>
        <w:t xml:space="preserve">For ATM processes being conducted through AusTender, the contact officer will collate the questions and answers and issue these as an Addendum to the ATM on AusTender. </w:t>
      </w:r>
    </w:p>
    <w:p w14:paraId="0AC2D92A" w14:textId="77777777" w:rsidR="005743E4" w:rsidRDefault="005743E4" w:rsidP="00783570">
      <w:pPr>
        <w:spacing w:before="120" w:after="120" w:line="288" w:lineRule="auto"/>
        <w:textAlignment w:val="baseline"/>
        <w:rPr>
          <w:rFonts w:ascii="Arial" w:eastAsia="Times New Roman" w:hAnsi="Arial" w:cs="Arial"/>
          <w:lang w:eastAsia="en-AU"/>
        </w:rPr>
      </w:pPr>
      <w:r w:rsidRPr="005743E4">
        <w:rPr>
          <w:rFonts w:ascii="Arial" w:eastAsia="Times New Roman" w:hAnsi="Arial" w:cs="Arial"/>
          <w:lang w:eastAsia="en-AU"/>
        </w:rPr>
        <w:t>AusTender registered users who have downloaded the ATM documents from AusTender will receive an email notification when an addendum is issued. Regardless of this, it is your responsibility to visit AusTender to see if any addenda have been issued.</w:t>
      </w:r>
    </w:p>
    <w:p w14:paraId="515E2184" w14:textId="2338AF94" w:rsidR="00423F99" w:rsidRDefault="00423F99" w:rsidP="00783570">
      <w:pPr>
        <w:spacing w:before="120" w:after="120" w:line="288" w:lineRule="auto"/>
        <w:textAlignment w:val="baseline"/>
        <w:rPr>
          <w:rFonts w:ascii="Arial" w:eastAsia="Times New Roman" w:hAnsi="Arial" w:cs="Arial"/>
          <w:lang w:eastAsia="en-AU"/>
        </w:rPr>
      </w:pPr>
      <w:r w:rsidRPr="00423F99">
        <w:rPr>
          <w:rFonts w:ascii="Arial" w:eastAsia="Times New Roman" w:hAnsi="Arial" w:cs="Arial"/>
          <w:lang w:eastAsia="en-AU"/>
        </w:rPr>
        <w:t>For processes conducted outside AusTender, the ATM documents will detail the process for clarifications.</w:t>
      </w:r>
    </w:p>
    <w:p w14:paraId="0F2F81F5" w14:textId="77777777" w:rsidR="00783570" w:rsidRPr="00423F99" w:rsidRDefault="00783570" w:rsidP="00783570">
      <w:pPr>
        <w:spacing w:before="120" w:after="120" w:line="288" w:lineRule="auto"/>
        <w:textAlignment w:val="baseline"/>
        <w:rPr>
          <w:rFonts w:ascii="Arial" w:eastAsia="Times New Roman" w:hAnsi="Arial" w:cs="Arial"/>
          <w:lang w:eastAsia="en-AU"/>
        </w:rPr>
      </w:pPr>
    </w:p>
    <w:p w14:paraId="6A9726E6" w14:textId="6918DF8F" w:rsidR="00AF015A" w:rsidRPr="00AF015A" w:rsidRDefault="00417368" w:rsidP="00783570">
      <w:pPr>
        <w:pStyle w:val="Boxed1Text"/>
        <w:spacing w:before="120" w:after="120" w:line="288" w:lineRule="auto"/>
        <w:jc w:val="center"/>
      </w:pPr>
      <w:r w:rsidRPr="00417368">
        <w:t>If you have questions about the ATM before it closes, you can ask questions and have them answered.</w:t>
      </w:r>
    </w:p>
    <w:p w14:paraId="691186DD" w14:textId="77777777" w:rsidR="00861BF7" w:rsidRDefault="00861BF7">
      <w:pPr>
        <w:suppressAutoHyphens w:val="0"/>
        <w:spacing w:before="0" w:after="120" w:line="440" w:lineRule="atLeast"/>
        <w:rPr>
          <w:rFonts w:asciiTheme="majorHAnsi" w:eastAsiaTheme="majorEastAsia" w:hAnsiTheme="majorHAnsi" w:cstheme="majorBidi"/>
          <w:bCs/>
          <w:color w:val="006066"/>
          <w:sz w:val="40"/>
          <w:szCs w:val="28"/>
        </w:rPr>
      </w:pPr>
      <w:r>
        <w:br w:type="page"/>
      </w:r>
    </w:p>
    <w:p w14:paraId="7087EFDF" w14:textId="03AEEEF3" w:rsidR="005C1617" w:rsidRDefault="005C1617" w:rsidP="005C1617">
      <w:pPr>
        <w:pStyle w:val="Heading1"/>
      </w:pPr>
      <w:bookmarkStart w:id="19" w:name="_Toc201582901"/>
      <w:r>
        <w:lastRenderedPageBreak/>
        <w:t>Briefing sessions</w:t>
      </w:r>
      <w:bookmarkEnd w:id="19"/>
    </w:p>
    <w:p w14:paraId="4020D42C" w14:textId="77777777" w:rsidR="00C87BE2" w:rsidRPr="00C87BE2" w:rsidRDefault="00C87BE2" w:rsidP="00C87BE2"/>
    <w:p w14:paraId="7E57BB40" w14:textId="36DD92D8" w:rsidR="006268FE" w:rsidRPr="005C1617" w:rsidRDefault="006268FE" w:rsidP="00C87BE2">
      <w:pPr>
        <w:pStyle w:val="Boxed1Text"/>
        <w:spacing w:before="120" w:after="120" w:line="288" w:lineRule="auto"/>
        <w:jc w:val="center"/>
      </w:pPr>
      <w:r w:rsidRPr="006268FE">
        <w:t>Be sure to attend an industry briefing if it is offered.</w:t>
      </w:r>
    </w:p>
    <w:p w14:paraId="104A43AE" w14:textId="77777777" w:rsidR="00861BF7" w:rsidRPr="00861BF7" w:rsidRDefault="00861BF7" w:rsidP="00C87BE2">
      <w:pPr>
        <w:spacing w:before="120" w:after="120" w:line="288" w:lineRule="auto"/>
        <w:textAlignment w:val="baseline"/>
        <w:rPr>
          <w:rFonts w:eastAsia="Times New Roman" w:cstheme="minorHAnsi"/>
          <w:lang w:eastAsia="en-AU"/>
        </w:rPr>
      </w:pPr>
      <w:r w:rsidRPr="00861BF7">
        <w:rPr>
          <w:rFonts w:eastAsia="Times New Roman" w:cstheme="minorHAnsi"/>
          <w:lang w:eastAsia="en-AU"/>
        </w:rPr>
        <w:t xml:space="preserve">If a procurement is significant in scope, scale or complexity, tendering organisations may hold an industry briefing session. </w:t>
      </w:r>
    </w:p>
    <w:p w14:paraId="0C1336CB" w14:textId="77777777" w:rsidR="00861BF7" w:rsidRPr="00861BF7" w:rsidRDefault="00861BF7" w:rsidP="00C87BE2">
      <w:pPr>
        <w:spacing w:before="120" w:after="120" w:line="288" w:lineRule="auto"/>
        <w:textAlignment w:val="baseline"/>
        <w:rPr>
          <w:rFonts w:eastAsia="Times New Roman" w:cstheme="minorHAnsi"/>
          <w:lang w:eastAsia="en-AU"/>
        </w:rPr>
      </w:pPr>
      <w:r w:rsidRPr="00861BF7">
        <w:rPr>
          <w:rFonts w:eastAsia="Times New Roman" w:cstheme="minorHAnsi"/>
          <w:lang w:eastAsia="en-AU"/>
        </w:rPr>
        <w:t>For open tenders, industry briefings are typically advertised on AusTender. Industry briefings provide potential suppliers with an opportunity to engage directly with procuring organisations and increase their understanding of the tender requirements or processes.</w:t>
      </w:r>
    </w:p>
    <w:p w14:paraId="5829AF49" w14:textId="77777777" w:rsidR="00861BF7" w:rsidRPr="00861BF7" w:rsidRDefault="00861BF7" w:rsidP="00C87BE2">
      <w:pPr>
        <w:spacing w:before="120" w:after="120" w:line="288" w:lineRule="auto"/>
        <w:textAlignment w:val="baseline"/>
        <w:rPr>
          <w:rFonts w:eastAsia="Times New Roman" w:cstheme="minorHAnsi"/>
          <w:lang w:eastAsia="en-AU"/>
        </w:rPr>
      </w:pPr>
      <w:r w:rsidRPr="00861BF7">
        <w:rPr>
          <w:rFonts w:eastAsia="Times New Roman" w:cstheme="minorHAnsi"/>
          <w:lang w:eastAsia="en-AU"/>
        </w:rPr>
        <w:t>Industry briefings provide an opportunity to ask questions and hear what others in your sector are saying about the procurement. Wherever possible, you should attend industry briefings as they can help you determine whether the opportunity is right for you and help shape your submission.</w:t>
      </w:r>
    </w:p>
    <w:p w14:paraId="3966E737" w14:textId="77777777" w:rsidR="00861BF7" w:rsidRDefault="00861BF7" w:rsidP="00C87BE2">
      <w:pPr>
        <w:suppressAutoHyphens w:val="0"/>
        <w:spacing w:before="120" w:after="120" w:line="288" w:lineRule="auto"/>
        <w:rPr>
          <w:rFonts w:ascii="Calibri" w:eastAsia="Times New Roman" w:hAnsi="Calibri" w:cs="Calibri"/>
          <w:lang w:eastAsia="en-AU"/>
        </w:rPr>
      </w:pPr>
      <w:r w:rsidRPr="00861BF7">
        <w:rPr>
          <w:rFonts w:eastAsia="Times New Roman" w:cstheme="minorHAnsi"/>
          <w:lang w:eastAsia="en-AU"/>
        </w:rPr>
        <w:t>Questions and answers from industry briefing sessions are typically collated and provided to all interested parties, either through AusTender or other channels – depending on how the procurement is being conducted.</w:t>
      </w:r>
      <w:r w:rsidRPr="00605C4E">
        <w:rPr>
          <w:rFonts w:ascii="Calibri" w:eastAsia="Times New Roman" w:hAnsi="Calibri" w:cs="Calibri"/>
          <w:lang w:eastAsia="en-AU"/>
        </w:rPr>
        <w:t xml:space="preserve"> </w:t>
      </w:r>
    </w:p>
    <w:p w14:paraId="76AFE2CB" w14:textId="77777777" w:rsidR="00861BF7" w:rsidRDefault="00861BF7" w:rsidP="00861BF7">
      <w:pPr>
        <w:suppressAutoHyphens w:val="0"/>
        <w:spacing w:before="120" w:after="120" w:line="288" w:lineRule="auto"/>
        <w:rPr>
          <w:rFonts w:ascii="Calibri" w:eastAsia="Times New Roman" w:hAnsi="Calibri" w:cs="Calibri"/>
          <w:lang w:eastAsia="en-AU"/>
        </w:rPr>
      </w:pPr>
    </w:p>
    <w:p w14:paraId="19826592" w14:textId="222ED4A1" w:rsidR="006268FE" w:rsidRDefault="006268FE" w:rsidP="006268FE">
      <w:pPr>
        <w:pStyle w:val="Heading1"/>
      </w:pPr>
      <w:bookmarkStart w:id="20" w:name="_Toc201582902"/>
      <w:r>
        <w:t>Response format</w:t>
      </w:r>
      <w:bookmarkEnd w:id="20"/>
    </w:p>
    <w:p w14:paraId="668E9A8A" w14:textId="77777777" w:rsidR="00EE74AA" w:rsidRPr="00EE74AA" w:rsidRDefault="00EE74AA" w:rsidP="00C87BE2">
      <w:pPr>
        <w:spacing w:before="120" w:after="120" w:line="288" w:lineRule="auto"/>
        <w:textAlignment w:val="baseline"/>
        <w:rPr>
          <w:rFonts w:ascii="Arial" w:eastAsia="Times New Roman" w:hAnsi="Arial" w:cs="Arial"/>
          <w:lang w:eastAsia="en-AU"/>
        </w:rPr>
      </w:pPr>
      <w:r w:rsidRPr="00EE74AA">
        <w:rPr>
          <w:rFonts w:ascii="Arial" w:eastAsia="Times New Roman" w:hAnsi="Arial" w:cs="Arial"/>
          <w:lang w:eastAsia="en-AU"/>
        </w:rPr>
        <w:t>Many ATMs will include a template response for you to complete. You need to answer or provide a response to each of the criteria or elements of the template.</w:t>
      </w:r>
    </w:p>
    <w:p w14:paraId="07CB8A16" w14:textId="77777777" w:rsidR="00EE74AA" w:rsidRPr="00EE74AA" w:rsidRDefault="00EE74AA" w:rsidP="00C87BE2">
      <w:pPr>
        <w:spacing w:before="120" w:after="120" w:line="288" w:lineRule="auto"/>
        <w:textAlignment w:val="baseline"/>
        <w:rPr>
          <w:rFonts w:ascii="Arial" w:eastAsia="Times New Roman" w:hAnsi="Arial" w:cs="Arial"/>
          <w:lang w:eastAsia="en-AU"/>
        </w:rPr>
      </w:pPr>
      <w:r w:rsidRPr="00EE74AA">
        <w:rPr>
          <w:rFonts w:ascii="Arial" w:eastAsia="Times New Roman" w:hAnsi="Arial" w:cs="Arial"/>
          <w:lang w:eastAsia="en-AU"/>
        </w:rPr>
        <w:t>If a template is not included with the ATM, make sure you include all the mandatory requirements specified in the ATM.</w:t>
      </w:r>
    </w:p>
    <w:p w14:paraId="267D1B53" w14:textId="77777777" w:rsidR="00EE74AA" w:rsidRPr="00EE74AA" w:rsidRDefault="00EE74AA" w:rsidP="00C87BE2">
      <w:pPr>
        <w:spacing w:before="120" w:after="120" w:line="288" w:lineRule="auto"/>
        <w:textAlignment w:val="baseline"/>
        <w:rPr>
          <w:rFonts w:ascii="Arial" w:eastAsia="Times New Roman" w:hAnsi="Arial" w:cs="Arial"/>
          <w:lang w:eastAsia="en-AU"/>
        </w:rPr>
      </w:pPr>
      <w:r w:rsidRPr="00EE74AA">
        <w:rPr>
          <w:rFonts w:ascii="Arial" w:eastAsia="Times New Roman" w:hAnsi="Arial" w:cs="Arial"/>
          <w:lang w:eastAsia="en-AU"/>
        </w:rPr>
        <w:t>If specific formatting is required, this should be clearly stated in the ATM.</w:t>
      </w:r>
    </w:p>
    <w:p w14:paraId="288E14DF" w14:textId="77777777" w:rsidR="00EE74AA" w:rsidRPr="00EE74AA" w:rsidRDefault="00EE74AA" w:rsidP="00C87BE2">
      <w:pPr>
        <w:spacing w:before="120" w:after="120" w:line="288" w:lineRule="auto"/>
        <w:textAlignment w:val="baseline"/>
        <w:rPr>
          <w:rFonts w:ascii="Arial" w:eastAsia="Times New Roman" w:hAnsi="Arial" w:cs="Arial"/>
          <w:lang w:eastAsia="en-AU"/>
        </w:rPr>
      </w:pPr>
      <w:r w:rsidRPr="00EE74AA">
        <w:rPr>
          <w:rFonts w:ascii="Arial" w:eastAsia="Times New Roman" w:hAnsi="Arial" w:cs="Arial"/>
          <w:lang w:eastAsia="en-AU"/>
        </w:rPr>
        <w:t>Be sure that your response addresses all the minimum requirements and evaluation criteria, completes any mandatory forms, and contains enough information to assist the procuring organisation to understand your offer and how it represents value for money.</w:t>
      </w:r>
    </w:p>
    <w:p w14:paraId="2DEFE0C4" w14:textId="6DC3810E" w:rsidR="00EE74AA" w:rsidRPr="00EE74AA" w:rsidRDefault="00EE74AA" w:rsidP="00C87BE2">
      <w:pPr>
        <w:spacing w:before="120" w:after="120" w:line="288" w:lineRule="auto"/>
        <w:rPr>
          <w:rFonts w:ascii="Arial" w:hAnsi="Arial" w:cs="Arial"/>
        </w:rPr>
      </w:pPr>
      <w:r w:rsidRPr="00EE74AA">
        <w:rPr>
          <w:rFonts w:ascii="Arial" w:eastAsia="Times New Roman" w:hAnsi="Arial" w:cs="Arial"/>
          <w:lang w:eastAsia="en-AU"/>
        </w:rPr>
        <w:t>If in doubt about the format of your submission, reach out to the nominated ATM contact officer as soon as possible.</w:t>
      </w:r>
    </w:p>
    <w:p w14:paraId="05613D87" w14:textId="77777777" w:rsidR="00C87BE2" w:rsidRDefault="00C87BE2">
      <w:pPr>
        <w:suppressAutoHyphens w:val="0"/>
        <w:spacing w:before="0" w:after="120" w:line="440" w:lineRule="atLeast"/>
        <w:rPr>
          <w:rFonts w:asciiTheme="majorHAnsi" w:eastAsiaTheme="majorEastAsia" w:hAnsiTheme="majorHAnsi" w:cstheme="majorBidi"/>
          <w:bCs/>
          <w:color w:val="006066"/>
          <w:sz w:val="40"/>
          <w:szCs w:val="28"/>
        </w:rPr>
      </w:pPr>
      <w:bookmarkStart w:id="21" w:name="_Toc201582903"/>
      <w:r>
        <w:br w:type="page"/>
      </w:r>
    </w:p>
    <w:p w14:paraId="7CD4E8B8" w14:textId="579EE26C" w:rsidR="004827FF" w:rsidRDefault="004827FF" w:rsidP="004827FF">
      <w:pPr>
        <w:pStyle w:val="Heading1"/>
      </w:pPr>
      <w:r>
        <w:lastRenderedPageBreak/>
        <w:t>Statement of requirement</w:t>
      </w:r>
      <w:bookmarkEnd w:id="21"/>
    </w:p>
    <w:p w14:paraId="0595034E" w14:textId="77777777" w:rsidR="000440B1" w:rsidRPr="000440B1" w:rsidRDefault="00615318" w:rsidP="00C87BE2">
      <w:pPr>
        <w:spacing w:before="120" w:after="120" w:line="288" w:lineRule="auto"/>
        <w:textAlignment w:val="baseline"/>
        <w:rPr>
          <w:rFonts w:ascii="Arial" w:eastAsia="Times New Roman" w:hAnsi="Arial" w:cs="Arial"/>
          <w:lang w:eastAsia="en-AU"/>
        </w:rPr>
      </w:pPr>
      <w:r w:rsidRPr="000440B1">
        <w:rPr>
          <w:rFonts w:ascii="Arial" w:hAnsi="Arial" w:cs="Arial"/>
        </w:rPr>
        <w:t>The statement of requirement, or statement of work, is the document that outlines the details of the goods or services that the Australian Government organisation wishes to buy.</w:t>
      </w:r>
      <w:r w:rsidR="000440B1" w:rsidRPr="000440B1">
        <w:rPr>
          <w:rFonts w:ascii="Arial" w:hAnsi="Arial" w:cs="Arial"/>
        </w:rPr>
        <w:t xml:space="preserve"> </w:t>
      </w:r>
      <w:r w:rsidR="000440B1" w:rsidRPr="000440B1">
        <w:rPr>
          <w:rFonts w:ascii="Arial" w:eastAsia="Times New Roman" w:hAnsi="Arial" w:cs="Arial"/>
          <w:lang w:eastAsia="en-AU"/>
        </w:rPr>
        <w:t>The statement of requirement will outline the needs of the government and requirements for goods or services, including the nature and scope of work, deliverables, specifications, timeframes, and any options for extension or additional work. </w:t>
      </w:r>
    </w:p>
    <w:p w14:paraId="40AC8A2C" w14:textId="77777777" w:rsidR="000440B1" w:rsidRPr="000440B1" w:rsidRDefault="000440B1" w:rsidP="00C87BE2">
      <w:pPr>
        <w:spacing w:before="120" w:after="120" w:line="288" w:lineRule="auto"/>
        <w:textAlignment w:val="baseline"/>
        <w:rPr>
          <w:rFonts w:ascii="Arial" w:eastAsia="Times New Roman" w:hAnsi="Arial" w:cs="Arial"/>
          <w:lang w:eastAsia="en-AU"/>
        </w:rPr>
      </w:pPr>
      <w:r w:rsidRPr="000440B1">
        <w:rPr>
          <w:rFonts w:ascii="Arial" w:eastAsia="Times New Roman" w:hAnsi="Arial" w:cs="Arial"/>
          <w:lang w:eastAsia="en-AU"/>
        </w:rPr>
        <w:t>It will be used in the tender evaluation process to assess the extent to which each potential supplier’s response addresses the requirements.</w:t>
      </w:r>
    </w:p>
    <w:p w14:paraId="363D94B9" w14:textId="77777777" w:rsidR="000440B1" w:rsidRPr="000440B1" w:rsidRDefault="000440B1" w:rsidP="00C87BE2">
      <w:pPr>
        <w:spacing w:before="120" w:after="120" w:line="288" w:lineRule="auto"/>
        <w:textAlignment w:val="baseline"/>
        <w:rPr>
          <w:rFonts w:ascii="Arial" w:eastAsia="Times New Roman" w:hAnsi="Arial" w:cs="Arial"/>
          <w:lang w:eastAsia="en-AU"/>
        </w:rPr>
      </w:pPr>
      <w:r w:rsidRPr="000440B1">
        <w:rPr>
          <w:rFonts w:ascii="Arial" w:eastAsia="Times New Roman" w:hAnsi="Arial" w:cs="Arial"/>
          <w:lang w:eastAsia="en-AU"/>
        </w:rPr>
        <w:t xml:space="preserve">It will ultimately inform key elements in the contract under which delivery of the goods and services is managed. </w:t>
      </w:r>
    </w:p>
    <w:p w14:paraId="6D055E01" w14:textId="7181D26D" w:rsidR="00615318" w:rsidRPr="000440B1" w:rsidRDefault="000440B1" w:rsidP="00C87BE2">
      <w:pPr>
        <w:spacing w:before="120" w:after="120" w:line="288" w:lineRule="auto"/>
        <w:rPr>
          <w:rFonts w:ascii="Arial" w:hAnsi="Arial" w:cs="Arial"/>
        </w:rPr>
      </w:pPr>
      <w:r w:rsidRPr="000440B1">
        <w:rPr>
          <w:rFonts w:ascii="Arial" w:eastAsia="Times New Roman" w:hAnsi="Arial" w:cs="Arial"/>
          <w:lang w:eastAsia="en-AU"/>
        </w:rPr>
        <w:t xml:space="preserve">This makes it a very important </w:t>
      </w:r>
      <w:r w:rsidR="009049FA" w:rsidRPr="000440B1">
        <w:rPr>
          <w:rFonts w:ascii="Arial" w:eastAsia="Times New Roman" w:hAnsi="Arial" w:cs="Arial"/>
          <w:lang w:eastAsia="en-AU"/>
        </w:rPr>
        <w:t>document,</w:t>
      </w:r>
      <w:r w:rsidRPr="000440B1">
        <w:rPr>
          <w:rFonts w:ascii="Arial" w:eastAsia="Times New Roman" w:hAnsi="Arial" w:cs="Arial"/>
          <w:lang w:eastAsia="en-AU"/>
        </w:rPr>
        <w:t xml:space="preserve"> and you should pay careful attention to </w:t>
      </w:r>
      <w:r w:rsidR="009049FA" w:rsidRPr="000440B1">
        <w:rPr>
          <w:rFonts w:ascii="Arial" w:eastAsia="Times New Roman" w:hAnsi="Arial" w:cs="Arial"/>
          <w:lang w:eastAsia="en-AU"/>
        </w:rPr>
        <w:t>its</w:t>
      </w:r>
      <w:r w:rsidRPr="000440B1">
        <w:rPr>
          <w:rFonts w:ascii="Arial" w:eastAsia="Times New Roman" w:hAnsi="Arial" w:cs="Arial"/>
          <w:lang w:eastAsia="en-AU"/>
        </w:rPr>
        <w:t xml:space="preserve"> contents.</w:t>
      </w:r>
    </w:p>
    <w:p w14:paraId="7A482F17" w14:textId="53228142" w:rsidR="000A46ED" w:rsidRDefault="00615318" w:rsidP="0016298A">
      <w:pPr>
        <w:pStyle w:val="Heading1"/>
      </w:pPr>
      <w:bookmarkStart w:id="22" w:name="_Toc201582904"/>
      <w:r>
        <w:t>Evaluation criteria</w:t>
      </w:r>
      <w:bookmarkEnd w:id="22"/>
    </w:p>
    <w:p w14:paraId="7043D086" w14:textId="13D5620D" w:rsidR="00130904" w:rsidRPr="00130904" w:rsidRDefault="00130904" w:rsidP="00C87BE2">
      <w:pPr>
        <w:spacing w:before="120" w:after="120" w:line="288" w:lineRule="auto"/>
        <w:textAlignment w:val="baseline"/>
        <w:rPr>
          <w:rFonts w:ascii="Arial" w:eastAsia="Calibri" w:hAnsi="Arial" w:cs="Arial"/>
        </w:rPr>
      </w:pPr>
      <w:r w:rsidRPr="00130904">
        <w:rPr>
          <w:rFonts w:ascii="Arial" w:eastAsia="Times New Roman" w:hAnsi="Arial" w:cs="Arial"/>
          <w:lang w:eastAsia="en-AU"/>
        </w:rPr>
        <w:t>Evaluation criteria are used to evaluate submissions and identify the supplier that can fulfil the procurement contract and provide the best value for money. </w:t>
      </w:r>
      <w:r w:rsidRPr="00130904">
        <w:rPr>
          <w:rFonts w:ascii="Arial" w:eastAsia="Calibri" w:hAnsi="Arial" w:cs="Arial"/>
        </w:rPr>
        <w:t>Whenever a buyer goes to market, the A</w:t>
      </w:r>
      <w:r w:rsidR="004B5978">
        <w:rPr>
          <w:rFonts w:ascii="Arial" w:eastAsia="Calibri" w:hAnsi="Arial" w:cs="Arial"/>
        </w:rPr>
        <w:t>TM</w:t>
      </w:r>
      <w:r w:rsidRPr="00130904">
        <w:rPr>
          <w:rFonts w:ascii="Arial" w:eastAsia="Calibri" w:hAnsi="Arial" w:cs="Arial"/>
        </w:rPr>
        <w:t xml:space="preserve"> documents must include the criteria that will be used to evaluate submissions. This enables the proper identification, assessment and comparison of submissions on </w:t>
      </w:r>
      <w:r w:rsidR="003B4B61">
        <w:rPr>
          <w:rFonts w:ascii="Arial" w:eastAsia="Calibri" w:hAnsi="Arial" w:cs="Arial"/>
        </w:rPr>
        <w:t xml:space="preserve">a </w:t>
      </w:r>
      <w:r w:rsidRPr="00130904">
        <w:rPr>
          <w:rFonts w:ascii="Arial" w:eastAsia="Calibri" w:hAnsi="Arial" w:cs="Arial"/>
        </w:rPr>
        <w:t xml:space="preserve">fair, common and transparent basis. </w:t>
      </w:r>
    </w:p>
    <w:p w14:paraId="74A38542" w14:textId="77777777" w:rsidR="00130904" w:rsidRPr="00130904" w:rsidRDefault="00130904" w:rsidP="00C87BE2">
      <w:pPr>
        <w:spacing w:before="120" w:after="120" w:line="288" w:lineRule="auto"/>
        <w:textAlignment w:val="baseline"/>
        <w:rPr>
          <w:rFonts w:ascii="Arial" w:eastAsia="Calibri" w:hAnsi="Arial" w:cs="Arial"/>
        </w:rPr>
      </w:pPr>
      <w:r w:rsidRPr="00130904">
        <w:rPr>
          <w:rFonts w:ascii="Arial" w:eastAsia="Calibri" w:hAnsi="Arial" w:cs="Arial"/>
        </w:rPr>
        <w:t>E</w:t>
      </w:r>
      <w:r w:rsidRPr="00130904">
        <w:rPr>
          <w:rFonts w:ascii="Arial" w:eastAsia="Times New Roman" w:hAnsi="Arial" w:cs="Arial"/>
          <w:lang w:eastAsia="en-AU"/>
        </w:rPr>
        <w:t>valuation criteria can be weighted based on their importance. This could be indicated by each criterion being listed in its order of importance.</w:t>
      </w:r>
    </w:p>
    <w:p w14:paraId="403C3A6D" w14:textId="77777777" w:rsidR="00130904" w:rsidRPr="00130904" w:rsidRDefault="00130904" w:rsidP="00C87BE2">
      <w:pPr>
        <w:spacing w:before="120" w:after="120" w:line="288" w:lineRule="auto"/>
        <w:textAlignment w:val="baseline"/>
        <w:rPr>
          <w:rFonts w:ascii="Arial" w:eastAsia="Times New Roman" w:hAnsi="Arial" w:cs="Arial"/>
          <w:lang w:eastAsia="en-AU"/>
        </w:rPr>
      </w:pPr>
      <w:r w:rsidRPr="00130904">
        <w:rPr>
          <w:rFonts w:ascii="Arial" w:eastAsia="Times New Roman" w:hAnsi="Arial" w:cs="Arial"/>
          <w:lang w:eastAsia="en-AU"/>
        </w:rPr>
        <w:t>Evaluation criteria will likely include:</w:t>
      </w:r>
    </w:p>
    <w:p w14:paraId="619A2E67" w14:textId="77777777" w:rsidR="00130904" w:rsidRPr="00130904" w:rsidRDefault="00130904" w:rsidP="00C87BE2">
      <w:pPr>
        <w:numPr>
          <w:ilvl w:val="0"/>
          <w:numId w:val="27"/>
        </w:numPr>
        <w:suppressAutoHyphens w:val="0"/>
        <w:spacing w:before="120" w:after="120" w:line="288" w:lineRule="auto"/>
        <w:ind w:left="714" w:hanging="357"/>
        <w:contextualSpacing/>
        <w:textAlignment w:val="baseline"/>
        <w:rPr>
          <w:rFonts w:ascii="Arial" w:eastAsia="Times New Roman" w:hAnsi="Arial" w:cs="Arial"/>
          <w:lang w:eastAsia="en-AU"/>
        </w:rPr>
      </w:pPr>
      <w:r w:rsidRPr="00130904">
        <w:rPr>
          <w:rFonts w:ascii="Arial" w:eastAsia="Times New Roman" w:hAnsi="Arial" w:cs="Arial"/>
          <w:lang w:eastAsia="en-AU"/>
        </w:rPr>
        <w:t>financial and non-financial costs and benefits</w:t>
      </w:r>
    </w:p>
    <w:p w14:paraId="72F31835" w14:textId="77777777" w:rsidR="00130904" w:rsidRPr="00130904" w:rsidRDefault="00130904" w:rsidP="00C87BE2">
      <w:pPr>
        <w:numPr>
          <w:ilvl w:val="0"/>
          <w:numId w:val="27"/>
        </w:numPr>
        <w:suppressAutoHyphens w:val="0"/>
        <w:spacing w:before="120" w:after="120" w:line="288" w:lineRule="auto"/>
        <w:ind w:left="714" w:hanging="357"/>
        <w:contextualSpacing/>
        <w:textAlignment w:val="baseline"/>
        <w:rPr>
          <w:rFonts w:ascii="Arial" w:eastAsia="Times New Roman" w:hAnsi="Arial" w:cs="Arial"/>
          <w:lang w:eastAsia="en-AU"/>
        </w:rPr>
      </w:pPr>
      <w:r w:rsidRPr="00130904">
        <w:rPr>
          <w:rFonts w:ascii="Arial" w:eastAsia="Times New Roman" w:hAnsi="Arial" w:cs="Arial"/>
          <w:lang w:eastAsia="en-AU"/>
        </w:rPr>
        <w:t>the quality and quantity of goods or services</w:t>
      </w:r>
    </w:p>
    <w:p w14:paraId="72F48D95" w14:textId="77777777" w:rsidR="00130904" w:rsidRPr="00130904" w:rsidRDefault="00130904" w:rsidP="00C87BE2">
      <w:pPr>
        <w:numPr>
          <w:ilvl w:val="0"/>
          <w:numId w:val="27"/>
        </w:numPr>
        <w:suppressAutoHyphens w:val="0"/>
        <w:spacing w:before="120" w:after="120" w:line="288" w:lineRule="auto"/>
        <w:ind w:left="714" w:hanging="357"/>
        <w:contextualSpacing/>
        <w:textAlignment w:val="baseline"/>
        <w:rPr>
          <w:rFonts w:ascii="Arial" w:eastAsia="Times New Roman" w:hAnsi="Arial" w:cs="Arial"/>
          <w:lang w:eastAsia="en-AU"/>
        </w:rPr>
      </w:pPr>
      <w:r w:rsidRPr="00130904">
        <w:rPr>
          <w:rFonts w:ascii="Arial" w:eastAsia="Times New Roman" w:hAnsi="Arial" w:cs="Arial"/>
          <w:lang w:eastAsia="en-AU"/>
        </w:rPr>
        <w:t>whether the goods or services are fit for purpose</w:t>
      </w:r>
    </w:p>
    <w:p w14:paraId="2AE86F5D" w14:textId="77777777" w:rsidR="00130904" w:rsidRPr="00130904" w:rsidRDefault="00130904" w:rsidP="00C87BE2">
      <w:pPr>
        <w:numPr>
          <w:ilvl w:val="0"/>
          <w:numId w:val="27"/>
        </w:numPr>
        <w:suppressAutoHyphens w:val="0"/>
        <w:spacing w:before="120" w:after="120" w:line="288" w:lineRule="auto"/>
        <w:ind w:left="714" w:hanging="357"/>
        <w:contextualSpacing/>
        <w:textAlignment w:val="baseline"/>
        <w:rPr>
          <w:rFonts w:ascii="Arial" w:eastAsia="Times New Roman" w:hAnsi="Arial" w:cs="Arial"/>
          <w:lang w:eastAsia="en-AU"/>
        </w:rPr>
      </w:pPr>
      <w:r w:rsidRPr="00130904">
        <w:rPr>
          <w:rFonts w:ascii="Arial" w:eastAsia="Times New Roman" w:hAnsi="Arial" w:cs="Arial"/>
          <w:lang w:eastAsia="en-AU"/>
        </w:rPr>
        <w:t>the supplier’s relevant experience and performance history and the expertise of the personnel who will perform the services</w:t>
      </w:r>
    </w:p>
    <w:p w14:paraId="3204FB5B" w14:textId="77777777" w:rsidR="00130904" w:rsidRPr="00130904" w:rsidRDefault="00130904" w:rsidP="00C87BE2">
      <w:pPr>
        <w:numPr>
          <w:ilvl w:val="0"/>
          <w:numId w:val="27"/>
        </w:numPr>
        <w:suppressAutoHyphens w:val="0"/>
        <w:spacing w:before="120" w:after="120" w:line="288" w:lineRule="auto"/>
        <w:ind w:left="714" w:hanging="357"/>
        <w:contextualSpacing/>
        <w:textAlignment w:val="baseline"/>
        <w:rPr>
          <w:rFonts w:ascii="Arial" w:eastAsia="Times New Roman" w:hAnsi="Arial" w:cs="Arial"/>
          <w:lang w:eastAsia="en-AU"/>
        </w:rPr>
      </w:pPr>
      <w:r w:rsidRPr="00130904">
        <w:rPr>
          <w:rFonts w:ascii="Arial" w:eastAsia="Times New Roman" w:hAnsi="Arial" w:cs="Arial"/>
          <w:lang w:eastAsia="en-AU"/>
        </w:rPr>
        <w:t>flexibility of the proposal, including innovation and adaptability over the lifecycle of the procurement</w:t>
      </w:r>
    </w:p>
    <w:p w14:paraId="042BB139" w14:textId="77777777" w:rsidR="00130904" w:rsidRPr="00130904" w:rsidRDefault="00130904" w:rsidP="00C87BE2">
      <w:pPr>
        <w:numPr>
          <w:ilvl w:val="0"/>
          <w:numId w:val="27"/>
        </w:numPr>
        <w:suppressAutoHyphens w:val="0"/>
        <w:spacing w:before="120" w:after="120" w:line="288" w:lineRule="auto"/>
        <w:ind w:left="714" w:hanging="357"/>
        <w:contextualSpacing/>
        <w:textAlignment w:val="baseline"/>
        <w:rPr>
          <w:rFonts w:ascii="Arial" w:eastAsia="Times New Roman" w:hAnsi="Arial" w:cs="Arial"/>
          <w:lang w:eastAsia="en-AU"/>
        </w:rPr>
      </w:pPr>
      <w:r w:rsidRPr="00130904">
        <w:rPr>
          <w:rFonts w:ascii="Arial" w:eastAsia="Times New Roman" w:hAnsi="Arial" w:cs="Arial"/>
          <w:lang w:eastAsia="en-AU"/>
        </w:rPr>
        <w:t>environmental sustainability of the proposed goods and</w:t>
      </w:r>
      <w:r w:rsidRPr="00130904">
        <w:rPr>
          <w:rFonts w:ascii="Arial" w:eastAsia="Times New Roman" w:hAnsi="Arial" w:cs="Arial"/>
          <w:b/>
          <w:bCs/>
          <w:lang w:eastAsia="en-AU"/>
        </w:rPr>
        <w:t xml:space="preserve"> </w:t>
      </w:r>
      <w:r w:rsidRPr="00130904">
        <w:rPr>
          <w:rFonts w:ascii="Arial" w:eastAsia="Times New Roman" w:hAnsi="Arial" w:cs="Arial"/>
          <w:lang w:eastAsia="en-AU"/>
        </w:rPr>
        <w:t>services, such as energy efficiency, environmental and climate change impact and the use of recycled products</w:t>
      </w:r>
    </w:p>
    <w:p w14:paraId="1B3A7F0C" w14:textId="77777777" w:rsidR="00130904" w:rsidRPr="00130904" w:rsidRDefault="00130904" w:rsidP="00C87BE2">
      <w:pPr>
        <w:numPr>
          <w:ilvl w:val="0"/>
          <w:numId w:val="27"/>
        </w:numPr>
        <w:suppressAutoHyphens w:val="0"/>
        <w:spacing w:before="120" w:after="120" w:line="288" w:lineRule="auto"/>
        <w:ind w:left="714" w:hanging="357"/>
        <w:textAlignment w:val="baseline"/>
        <w:rPr>
          <w:rFonts w:ascii="Arial" w:eastAsia="Times New Roman" w:hAnsi="Arial" w:cs="Arial"/>
          <w:lang w:eastAsia="en-AU"/>
        </w:rPr>
      </w:pPr>
      <w:r w:rsidRPr="00130904">
        <w:rPr>
          <w:rFonts w:ascii="Arial" w:eastAsia="Times New Roman" w:hAnsi="Arial" w:cs="Arial"/>
          <w:lang w:eastAsia="en-AU"/>
        </w:rPr>
        <w:t>whole-of-life costs, which could include initial purchase price, maintenance, operating, transition out costs and any disposal costs.</w:t>
      </w:r>
    </w:p>
    <w:p w14:paraId="2E28B0B3" w14:textId="77777777" w:rsidR="00130904" w:rsidRPr="00130904" w:rsidRDefault="00130904" w:rsidP="00C87BE2">
      <w:pPr>
        <w:spacing w:before="120" w:after="120" w:line="288" w:lineRule="auto"/>
        <w:textAlignment w:val="baseline"/>
        <w:rPr>
          <w:rFonts w:ascii="Arial" w:eastAsia="Times New Roman" w:hAnsi="Arial" w:cs="Arial"/>
          <w:lang w:eastAsia="en-AU"/>
        </w:rPr>
      </w:pPr>
      <w:r w:rsidRPr="00130904">
        <w:rPr>
          <w:rFonts w:ascii="Arial" w:eastAsia="Times New Roman" w:hAnsi="Arial" w:cs="Arial"/>
          <w:lang w:eastAsia="en-AU"/>
        </w:rPr>
        <w:t>Extra criteria that support government priorities may be included, such as:</w:t>
      </w:r>
    </w:p>
    <w:p w14:paraId="6A0F857D" w14:textId="77777777" w:rsidR="00130904" w:rsidRPr="00130904" w:rsidRDefault="00130904" w:rsidP="00C87BE2">
      <w:pPr>
        <w:numPr>
          <w:ilvl w:val="0"/>
          <w:numId w:val="28"/>
        </w:numPr>
        <w:suppressAutoHyphens w:val="0"/>
        <w:spacing w:before="120" w:after="120" w:line="288" w:lineRule="auto"/>
        <w:ind w:left="714" w:hanging="357"/>
        <w:contextualSpacing/>
        <w:textAlignment w:val="baseline"/>
        <w:rPr>
          <w:rFonts w:ascii="Arial" w:eastAsia="Times New Roman" w:hAnsi="Arial" w:cs="Arial"/>
          <w:lang w:eastAsia="en-AU"/>
        </w:rPr>
      </w:pPr>
      <w:r w:rsidRPr="00130904">
        <w:rPr>
          <w:rFonts w:ascii="Arial" w:eastAsia="Times New Roman" w:hAnsi="Arial" w:cs="Arial"/>
          <w:lang w:eastAsia="en-AU"/>
        </w:rPr>
        <w:t>supporting small to medium enterprises (SMEs) and regional businesses</w:t>
      </w:r>
    </w:p>
    <w:p w14:paraId="7080EAAB" w14:textId="77777777" w:rsidR="00130904" w:rsidRPr="00130904" w:rsidRDefault="00130904" w:rsidP="00C87BE2">
      <w:pPr>
        <w:numPr>
          <w:ilvl w:val="0"/>
          <w:numId w:val="28"/>
        </w:numPr>
        <w:suppressAutoHyphens w:val="0"/>
        <w:spacing w:before="120" w:after="120" w:line="288" w:lineRule="auto"/>
        <w:ind w:left="714" w:hanging="357"/>
        <w:textAlignment w:val="baseline"/>
        <w:rPr>
          <w:rFonts w:ascii="Arial" w:eastAsia="Times New Roman" w:hAnsi="Arial" w:cs="Arial"/>
          <w:lang w:eastAsia="en-AU"/>
        </w:rPr>
      </w:pPr>
      <w:r w:rsidRPr="00130904">
        <w:rPr>
          <w:rFonts w:ascii="Arial" w:eastAsia="Times New Roman" w:hAnsi="Arial" w:cs="Arial"/>
          <w:lang w:eastAsia="en-AU"/>
        </w:rPr>
        <w:t>providing employment and business opportunities for Indigenous people, veterans, etc.</w:t>
      </w:r>
    </w:p>
    <w:p w14:paraId="1CB78F4B" w14:textId="77777777" w:rsidR="00130904" w:rsidRPr="00130904" w:rsidRDefault="00130904" w:rsidP="00C87BE2">
      <w:pPr>
        <w:spacing w:before="120" w:after="120" w:line="288" w:lineRule="auto"/>
        <w:textAlignment w:val="baseline"/>
        <w:rPr>
          <w:rFonts w:ascii="Arial" w:eastAsia="Calibri" w:hAnsi="Arial" w:cs="Arial"/>
        </w:rPr>
      </w:pPr>
      <w:r w:rsidRPr="00130904">
        <w:rPr>
          <w:rFonts w:ascii="Arial" w:eastAsia="Calibri" w:hAnsi="Arial" w:cs="Arial"/>
        </w:rPr>
        <w:t>Pay careful attention to any mandatory criteria. They must be met in order for your submission to be considered.</w:t>
      </w:r>
    </w:p>
    <w:p w14:paraId="526C231A" w14:textId="77777777" w:rsidR="000A46ED" w:rsidRPr="000A46ED" w:rsidRDefault="000A46ED" w:rsidP="000A46ED"/>
    <w:p w14:paraId="7A882131" w14:textId="4E001D6F" w:rsidR="0016298A" w:rsidRDefault="009D2E63" w:rsidP="0016298A">
      <w:pPr>
        <w:pStyle w:val="Heading1"/>
      </w:pPr>
      <w:bookmarkStart w:id="23" w:name="_Toc201582905"/>
      <w:r>
        <w:lastRenderedPageBreak/>
        <w:t>Supplier Code of Conduct</w:t>
      </w:r>
      <w:bookmarkEnd w:id="23"/>
    </w:p>
    <w:p w14:paraId="12E81723" w14:textId="77777777" w:rsidR="008911BD" w:rsidRPr="008911BD" w:rsidRDefault="007D10CF" w:rsidP="00C87BE2">
      <w:pPr>
        <w:spacing w:before="120" w:after="120" w:line="288" w:lineRule="auto"/>
        <w:textAlignment w:val="baseline"/>
        <w:rPr>
          <w:rFonts w:ascii="Arial" w:eastAsia="Times New Roman" w:hAnsi="Arial" w:cs="Arial"/>
          <w:lang w:eastAsia="en-AU"/>
        </w:rPr>
      </w:pPr>
      <w:r w:rsidRPr="008911BD">
        <w:rPr>
          <w:rFonts w:ascii="Arial" w:hAnsi="Arial" w:cs="Arial"/>
        </w:rPr>
        <w:t>The Commonwealth Supplier Code of Conduct outlines the Commonwealth’s minimum expectations of suppliers and their subcontractors while under contract with the Commonwealth.</w:t>
      </w:r>
      <w:r w:rsidR="008911BD" w:rsidRPr="008911BD">
        <w:rPr>
          <w:rFonts w:ascii="Arial" w:hAnsi="Arial" w:cs="Arial"/>
        </w:rPr>
        <w:t xml:space="preserve"> </w:t>
      </w:r>
      <w:r w:rsidR="008911BD" w:rsidRPr="008911BD">
        <w:rPr>
          <w:rFonts w:ascii="Arial" w:eastAsia="Times New Roman" w:hAnsi="Arial" w:cs="Arial"/>
          <w:lang w:eastAsia="en-AU"/>
        </w:rPr>
        <w:t>The Code applies to all Commonwealth contracts and places a positive duty on suppliers to take proactive action to prevent and discourage breaches of the Code. </w:t>
      </w:r>
    </w:p>
    <w:p w14:paraId="6CCC6012" w14:textId="77777777" w:rsidR="008911BD" w:rsidRPr="008911BD" w:rsidRDefault="008911BD" w:rsidP="00C87BE2">
      <w:pPr>
        <w:spacing w:before="120" w:after="120" w:line="288" w:lineRule="auto"/>
        <w:textAlignment w:val="baseline"/>
        <w:rPr>
          <w:rFonts w:ascii="Arial" w:eastAsia="Times New Roman" w:hAnsi="Arial" w:cs="Arial"/>
          <w:lang w:eastAsia="en-AU"/>
        </w:rPr>
      </w:pPr>
      <w:r w:rsidRPr="008911BD">
        <w:rPr>
          <w:rFonts w:ascii="Arial" w:eastAsia="Times New Roman" w:hAnsi="Arial" w:cs="Arial"/>
          <w:lang w:eastAsia="en-AU"/>
        </w:rPr>
        <w:t>The Code and Code clauses provides structure to both suppliers and Australian Government organisations on how supplier misconduct will be handled.</w:t>
      </w:r>
    </w:p>
    <w:p w14:paraId="778E81E1" w14:textId="77777777" w:rsidR="008911BD" w:rsidRPr="008911BD" w:rsidRDefault="008911BD" w:rsidP="00C87BE2">
      <w:pPr>
        <w:spacing w:before="120" w:after="120" w:line="288" w:lineRule="auto"/>
        <w:textAlignment w:val="baseline"/>
        <w:rPr>
          <w:rFonts w:ascii="Arial" w:eastAsia="Times New Roman" w:hAnsi="Arial" w:cs="Arial"/>
          <w:lang w:eastAsia="en-AU"/>
        </w:rPr>
      </w:pPr>
      <w:r w:rsidRPr="008911BD">
        <w:rPr>
          <w:rFonts w:ascii="Arial" w:eastAsia="Times New Roman" w:hAnsi="Arial" w:cs="Arial"/>
          <w:lang w:eastAsia="en-AU"/>
        </w:rPr>
        <w:t>Where requested by an Australian Government organisation, you may need to clarify in your response how you can/will meet the expectations set out by the Code.</w:t>
      </w:r>
    </w:p>
    <w:p w14:paraId="311991F2" w14:textId="268CB68A" w:rsidR="008911BD" w:rsidRPr="008911BD" w:rsidRDefault="008911BD" w:rsidP="00C87BE2">
      <w:pPr>
        <w:spacing w:before="120" w:after="120" w:line="288" w:lineRule="auto"/>
        <w:textAlignment w:val="baseline"/>
        <w:rPr>
          <w:rFonts w:ascii="Arial" w:eastAsia="Times New Roman" w:hAnsi="Arial" w:cs="Arial"/>
          <w:lang w:eastAsia="en-AU"/>
        </w:rPr>
      </w:pPr>
      <w:r w:rsidRPr="008911BD">
        <w:rPr>
          <w:rFonts w:ascii="Arial" w:eastAsia="Times New Roman" w:hAnsi="Arial" w:cs="Arial"/>
          <w:lang w:eastAsia="en-AU"/>
        </w:rPr>
        <w:t>The next module in our workshops looks more closely at the Supplier Code of Conduct. If you are interested in attending a session, contact us at the selling to gov email address</w:t>
      </w:r>
      <w:r w:rsidR="00161B82">
        <w:rPr>
          <w:rFonts w:ascii="Arial" w:eastAsia="Times New Roman" w:hAnsi="Arial" w:cs="Arial"/>
          <w:lang w:eastAsia="en-AU"/>
        </w:rPr>
        <w:t xml:space="preserve">, </w:t>
      </w:r>
      <w:hyperlink r:id="rId23" w:history="1">
        <w:r w:rsidR="00161B82" w:rsidRPr="00F368EE">
          <w:rPr>
            <w:rStyle w:val="Hyperlink"/>
            <w:rFonts w:ascii="Arial" w:eastAsia="Times New Roman" w:hAnsi="Arial" w:cs="Arial"/>
            <w:lang w:eastAsia="en-AU"/>
          </w:rPr>
          <w:t>sellingtogov@finance.gov.au</w:t>
        </w:r>
      </w:hyperlink>
      <w:r w:rsidR="00161B82">
        <w:rPr>
          <w:rFonts w:ascii="Arial" w:eastAsia="Times New Roman" w:hAnsi="Arial" w:cs="Arial"/>
          <w:lang w:eastAsia="en-AU"/>
        </w:rPr>
        <w:t xml:space="preserve"> </w:t>
      </w:r>
      <w:r w:rsidRPr="008911BD">
        <w:rPr>
          <w:rFonts w:ascii="Arial" w:eastAsia="Times New Roman" w:hAnsi="Arial" w:cs="Arial"/>
          <w:lang w:eastAsia="en-AU"/>
        </w:rPr>
        <w:t>and we’ll add you to our contact list.</w:t>
      </w:r>
    </w:p>
    <w:p w14:paraId="52F3A8C5" w14:textId="3D00B879" w:rsidR="0016298A" w:rsidRPr="0016298A" w:rsidRDefault="0016298A" w:rsidP="0016298A"/>
    <w:p w14:paraId="3A7354F0" w14:textId="022C820A" w:rsidR="007D10CF" w:rsidRDefault="007D10CF" w:rsidP="007D10CF">
      <w:pPr>
        <w:pStyle w:val="Heading1"/>
      </w:pPr>
      <w:bookmarkStart w:id="24" w:name="_Toc201582906"/>
      <w:r>
        <w:t>Terms and conditions</w:t>
      </w:r>
      <w:bookmarkEnd w:id="24"/>
    </w:p>
    <w:p w14:paraId="79155E52" w14:textId="6AAC3307" w:rsidR="00D26F3B" w:rsidRPr="00DB6053" w:rsidRDefault="00A834BF" w:rsidP="00C87BE2">
      <w:pPr>
        <w:spacing w:before="120" w:after="120" w:line="288" w:lineRule="auto"/>
        <w:textAlignment w:val="baseline"/>
        <w:rPr>
          <w:rFonts w:eastAsia="Times New Roman" w:cstheme="minorHAnsi"/>
          <w:lang w:eastAsia="en-AU"/>
        </w:rPr>
      </w:pPr>
      <w:r w:rsidRPr="00DB6053">
        <w:rPr>
          <w:rFonts w:cstheme="minorHAnsi"/>
        </w:rPr>
        <w:t>The draft contract gives you a chance to see the terms and conditions under which your business would be contracted if you are successful.</w:t>
      </w:r>
      <w:r w:rsidR="00D26F3B" w:rsidRPr="00DB6053">
        <w:rPr>
          <w:rFonts w:eastAsia="Times New Roman" w:cstheme="minorHAnsi"/>
          <w:lang w:eastAsia="en-AU"/>
        </w:rPr>
        <w:t xml:space="preserve"> Invest time in understanding the terms of the contract and provisions for effectively managing the contract. You may also wish to seek legal advice about the terms and conditions if you are unsure about anything.</w:t>
      </w:r>
    </w:p>
    <w:p w14:paraId="43D05970" w14:textId="77777777" w:rsidR="00D26F3B" w:rsidRPr="00DB6053" w:rsidRDefault="00D26F3B" w:rsidP="00C87BE2">
      <w:pPr>
        <w:spacing w:before="120" w:after="120" w:line="288" w:lineRule="auto"/>
        <w:textAlignment w:val="baseline"/>
        <w:rPr>
          <w:rFonts w:eastAsia="Times New Roman" w:cstheme="minorHAnsi"/>
          <w:lang w:eastAsia="en-AU"/>
        </w:rPr>
      </w:pPr>
      <w:r w:rsidRPr="00DB6053">
        <w:rPr>
          <w:rFonts w:eastAsia="Times New Roman" w:cstheme="minorHAnsi"/>
          <w:lang w:eastAsia="en-AU"/>
        </w:rPr>
        <w:t>Australian Government organisations must use the </w:t>
      </w:r>
      <w:hyperlink r:id="rId24" w:history="1">
        <w:r w:rsidRPr="00DB6053">
          <w:rPr>
            <w:rFonts w:eastAsia="Times New Roman" w:cstheme="minorHAnsi"/>
            <w:color w:val="0563C1"/>
            <w:u w:val="single"/>
            <w:lang w:eastAsia="en-AU"/>
          </w:rPr>
          <w:t>Commonwealth Contract Terms</w:t>
        </w:r>
      </w:hyperlink>
      <w:r w:rsidRPr="00DB6053">
        <w:rPr>
          <w:rFonts w:eastAsia="Times New Roman" w:cstheme="minorHAnsi"/>
          <w:lang w:eastAsia="en-AU"/>
        </w:rPr>
        <w:t> for most contracts up to $200,000. It would be useful to familiarise yourself with these terms.</w:t>
      </w:r>
    </w:p>
    <w:p w14:paraId="2B03FC06" w14:textId="77777777" w:rsidR="00D26F3B" w:rsidRPr="00DB6053" w:rsidRDefault="00D26F3B" w:rsidP="00C87BE2">
      <w:pPr>
        <w:spacing w:before="120" w:after="120" w:line="288" w:lineRule="auto"/>
        <w:textAlignment w:val="baseline"/>
        <w:rPr>
          <w:rFonts w:eastAsia="Times New Roman" w:cstheme="minorHAnsi"/>
          <w:lang w:eastAsia="en-AU"/>
        </w:rPr>
      </w:pPr>
      <w:r w:rsidRPr="00DB6053">
        <w:rPr>
          <w:rFonts w:eastAsia="Times New Roman" w:cstheme="minorHAnsi"/>
          <w:lang w:eastAsia="en-AU"/>
        </w:rPr>
        <w:t>You may be asked to confirm in your submission whether your business complies with the terms and conditions of the draft contract.</w:t>
      </w:r>
    </w:p>
    <w:p w14:paraId="52E83FF4" w14:textId="77777777" w:rsidR="00D26F3B" w:rsidRPr="00DB6053" w:rsidRDefault="00D26F3B" w:rsidP="00C87BE2">
      <w:pPr>
        <w:spacing w:before="120" w:after="120" w:line="288" w:lineRule="auto"/>
        <w:textAlignment w:val="baseline"/>
        <w:rPr>
          <w:rFonts w:eastAsia="Times New Roman" w:cstheme="minorHAnsi"/>
          <w:lang w:eastAsia="en-AU"/>
        </w:rPr>
      </w:pPr>
      <w:r w:rsidRPr="00DB6053">
        <w:rPr>
          <w:rFonts w:eastAsia="Times New Roman" w:cstheme="minorHAnsi"/>
          <w:lang w:eastAsia="en-AU"/>
        </w:rPr>
        <w:t xml:space="preserve">For contracts which are below the $80,000 threshold, there would generally be no need for contract negotiations. It is usually not cost effective to negotiate contract clauses for low value contracts. </w:t>
      </w:r>
    </w:p>
    <w:p w14:paraId="32EA6250" w14:textId="77777777" w:rsidR="00D26F3B" w:rsidRPr="00DB6053" w:rsidRDefault="00D26F3B" w:rsidP="00C87BE2">
      <w:pPr>
        <w:spacing w:before="120" w:after="120" w:line="288" w:lineRule="auto"/>
        <w:textAlignment w:val="baseline"/>
        <w:rPr>
          <w:rFonts w:eastAsia="Times New Roman" w:cstheme="minorHAnsi"/>
          <w:lang w:eastAsia="en-AU"/>
        </w:rPr>
      </w:pPr>
      <w:r w:rsidRPr="00DB6053">
        <w:rPr>
          <w:rFonts w:eastAsia="Times New Roman" w:cstheme="minorHAnsi"/>
          <w:lang w:eastAsia="en-AU"/>
        </w:rPr>
        <w:t>For higher value contracts, organisations will ask that you indicate your preparedness to accept the offered contract and to state any clauses that you want to negotiate. You may negotiate terms and conditions in the draft contract. If you don’t raise your concerns as part of your tender submission, it may make things more difficult to negotiate later.</w:t>
      </w:r>
    </w:p>
    <w:p w14:paraId="0EF639A7" w14:textId="64CA5567" w:rsidR="00A834BF" w:rsidRPr="00DB6053" w:rsidRDefault="00D26F3B" w:rsidP="00C87BE2">
      <w:pPr>
        <w:spacing w:before="120" w:after="120" w:line="288" w:lineRule="auto"/>
        <w:rPr>
          <w:rFonts w:cstheme="minorHAnsi"/>
        </w:rPr>
      </w:pPr>
      <w:r w:rsidRPr="00DB6053">
        <w:rPr>
          <w:rFonts w:eastAsia="Times New Roman" w:cstheme="minorHAnsi"/>
          <w:lang w:eastAsia="en-AU"/>
        </w:rPr>
        <w:t>You should be aware that an Australian Government organisation will usually regard an ATM response that departs from the standard terms and conditions as higher risk and a higher cost than one which complies. This may make your response less competitive in terms of achieving value for money.</w:t>
      </w:r>
    </w:p>
    <w:p w14:paraId="2096BD35" w14:textId="77777777" w:rsidR="00274205" w:rsidRDefault="00274205">
      <w:pPr>
        <w:suppressAutoHyphens w:val="0"/>
        <w:spacing w:before="0" w:after="120" w:line="440" w:lineRule="atLeast"/>
        <w:rPr>
          <w:rFonts w:asciiTheme="majorHAnsi" w:eastAsiaTheme="majorEastAsia" w:hAnsiTheme="majorHAnsi" w:cstheme="majorBidi"/>
          <w:bCs/>
          <w:color w:val="006066"/>
          <w:sz w:val="40"/>
          <w:szCs w:val="28"/>
        </w:rPr>
      </w:pPr>
      <w:bookmarkStart w:id="25" w:name="_Toc201582907"/>
      <w:r>
        <w:br w:type="page"/>
      </w:r>
    </w:p>
    <w:p w14:paraId="6B34085C" w14:textId="0FB7FDF8" w:rsidR="00A834BF" w:rsidRDefault="00A834BF" w:rsidP="00A834BF">
      <w:pPr>
        <w:pStyle w:val="Heading1"/>
      </w:pPr>
      <w:r>
        <w:lastRenderedPageBreak/>
        <w:t>Referees</w:t>
      </w:r>
      <w:bookmarkEnd w:id="25"/>
    </w:p>
    <w:p w14:paraId="149AEA65" w14:textId="77777777" w:rsidR="000F3FA6" w:rsidRPr="00FD5303" w:rsidRDefault="000F3FA6" w:rsidP="00C87BE2">
      <w:pPr>
        <w:spacing w:before="120" w:after="120" w:line="288" w:lineRule="auto"/>
        <w:rPr>
          <w:rFonts w:cstheme="minorHAnsi"/>
        </w:rPr>
      </w:pPr>
      <w:r w:rsidRPr="00FD5303">
        <w:rPr>
          <w:rFonts w:cstheme="minorHAnsi"/>
        </w:rPr>
        <w:t>Reference checks are usually made when your business may become a preferred supplier (but not always).</w:t>
      </w:r>
    </w:p>
    <w:p w14:paraId="161EDB78" w14:textId="4E7B0E50" w:rsidR="000F3FA6" w:rsidRPr="00FD5303" w:rsidRDefault="000F3FA6" w:rsidP="00C87BE2">
      <w:pPr>
        <w:spacing w:before="120" w:after="120" w:line="288" w:lineRule="auto"/>
        <w:rPr>
          <w:rFonts w:cstheme="minorHAnsi"/>
        </w:rPr>
      </w:pPr>
      <w:r w:rsidRPr="00FD5303">
        <w:rPr>
          <w:rFonts w:cstheme="minorHAnsi"/>
        </w:rPr>
        <w:t xml:space="preserve">You should select referees for whom you have worked so they can verify the claims you have made in your tender. </w:t>
      </w:r>
    </w:p>
    <w:p w14:paraId="113B845B" w14:textId="77777777" w:rsidR="00FD5303" w:rsidRPr="00FD5303" w:rsidRDefault="00FD5303" w:rsidP="00C87BE2">
      <w:pPr>
        <w:spacing w:before="120" w:after="120" w:line="288" w:lineRule="auto"/>
        <w:textAlignment w:val="baseline"/>
        <w:rPr>
          <w:rFonts w:eastAsia="Times New Roman" w:cstheme="minorHAnsi"/>
          <w:lang w:eastAsia="en-AU"/>
        </w:rPr>
      </w:pPr>
      <w:r w:rsidRPr="00FD5303">
        <w:rPr>
          <w:rFonts w:eastAsia="Times New Roman" w:cstheme="minorHAnsi"/>
          <w:lang w:eastAsia="en-AU"/>
        </w:rPr>
        <w:t xml:space="preserve">Depending on the tender evaluation plan and sequence in which evaluation activities occur, referee checks might be made toward the end of an evaluation process or at the same time as compliance checks. </w:t>
      </w:r>
    </w:p>
    <w:p w14:paraId="3351606A" w14:textId="77777777" w:rsidR="00FD5303" w:rsidRPr="00FD5303" w:rsidRDefault="00FD5303" w:rsidP="00C87BE2">
      <w:pPr>
        <w:spacing w:before="120" w:after="120" w:line="288" w:lineRule="auto"/>
        <w:textAlignment w:val="baseline"/>
        <w:rPr>
          <w:rFonts w:eastAsia="Times New Roman" w:cstheme="minorHAnsi"/>
          <w:lang w:eastAsia="en-AU"/>
        </w:rPr>
      </w:pPr>
      <w:r w:rsidRPr="00FD5303">
        <w:rPr>
          <w:rFonts w:eastAsia="Times New Roman" w:cstheme="minorHAnsi"/>
          <w:lang w:eastAsia="en-AU"/>
        </w:rPr>
        <w:t xml:space="preserve">You should select referees for whom you have performed the same or similar work so they can verify the claims you have made in your submission. For example, if you are applying to be on the Management Advisory Services Panel under a specific service category, provide referees for previous management advisory services specific to that category. </w:t>
      </w:r>
    </w:p>
    <w:p w14:paraId="53EC95AD" w14:textId="77777777" w:rsidR="00FD5303" w:rsidRPr="00FD5303" w:rsidRDefault="00FD5303" w:rsidP="00C87BE2">
      <w:pPr>
        <w:spacing w:before="120" w:after="120" w:line="288" w:lineRule="auto"/>
        <w:textAlignment w:val="baseline"/>
        <w:rPr>
          <w:rFonts w:eastAsia="Times New Roman" w:cstheme="minorHAnsi"/>
          <w:lang w:eastAsia="en-AU"/>
        </w:rPr>
      </w:pPr>
      <w:r w:rsidRPr="00FD5303">
        <w:rPr>
          <w:rFonts w:eastAsia="Times New Roman" w:cstheme="minorHAnsi"/>
          <w:lang w:eastAsia="en-AU"/>
        </w:rPr>
        <w:t>You should always ask your proposed referees if they agree to provide a reference for you before you include them in your response. It is not very helpful to your chances if the referee is not expecting the contact, or worse still, does not wish to give a reference for you.</w:t>
      </w:r>
    </w:p>
    <w:p w14:paraId="4EB1ACB5" w14:textId="3636FF84" w:rsidR="00FD5303" w:rsidRDefault="00FD5303" w:rsidP="00C87BE2">
      <w:pPr>
        <w:spacing w:before="120" w:after="120" w:line="288" w:lineRule="auto"/>
        <w:rPr>
          <w:rFonts w:eastAsia="Times New Roman" w:cstheme="minorHAnsi"/>
          <w:lang w:eastAsia="en-AU"/>
        </w:rPr>
      </w:pPr>
      <w:r w:rsidRPr="00FD5303">
        <w:rPr>
          <w:rFonts w:eastAsia="Times New Roman" w:cstheme="minorHAnsi"/>
          <w:lang w:eastAsia="en-AU"/>
        </w:rPr>
        <w:t>It is important to note that in checking your business history the Australian Government organisation may talk to any business, or other government organisation, that you have previously supplied, whether you have offered them as a referee or not. This is part of the due diligence process Australian Government buyers must follow.</w:t>
      </w:r>
    </w:p>
    <w:p w14:paraId="7EC55B53" w14:textId="77777777" w:rsidR="00C87BE2" w:rsidRPr="00FD5303" w:rsidRDefault="00C87BE2" w:rsidP="00C87BE2">
      <w:pPr>
        <w:spacing w:before="120" w:after="120" w:line="288" w:lineRule="auto"/>
        <w:rPr>
          <w:rFonts w:cstheme="minorHAnsi"/>
        </w:rPr>
      </w:pPr>
    </w:p>
    <w:p w14:paraId="0DE1809A" w14:textId="238BDD3A" w:rsidR="000F3FA6" w:rsidRPr="000F3FA6" w:rsidRDefault="000F3FA6" w:rsidP="00C87BE2">
      <w:pPr>
        <w:pStyle w:val="Boxed3Text"/>
        <w:jc w:val="center"/>
      </w:pPr>
      <w:r w:rsidRPr="000F3FA6">
        <w:t>Ask your referees if they wish to give a reference for you before including them in your response.</w:t>
      </w:r>
    </w:p>
    <w:p w14:paraId="792AEF88" w14:textId="77777777" w:rsidR="00C87BE2" w:rsidRDefault="00C87BE2" w:rsidP="000F3FA6">
      <w:pPr>
        <w:pStyle w:val="Heading1"/>
      </w:pPr>
      <w:bookmarkStart w:id="26" w:name="_Toc201582908"/>
    </w:p>
    <w:p w14:paraId="644CFB4B" w14:textId="0F8840CF" w:rsidR="000F3FA6" w:rsidRDefault="000F3FA6" w:rsidP="000F3FA6">
      <w:pPr>
        <w:pStyle w:val="Heading1"/>
      </w:pPr>
      <w:r>
        <w:t>Before you lodge</w:t>
      </w:r>
      <w:bookmarkEnd w:id="26"/>
    </w:p>
    <w:p w14:paraId="65FBA6A3" w14:textId="77777777" w:rsidR="00B6244B" w:rsidRPr="00A81FD8" w:rsidRDefault="00B6244B" w:rsidP="00C87BE2">
      <w:pPr>
        <w:spacing w:before="120" w:after="120" w:line="288" w:lineRule="auto"/>
        <w:rPr>
          <w:rFonts w:ascii="Arial" w:hAnsi="Arial" w:cs="Arial"/>
        </w:rPr>
      </w:pPr>
      <w:r w:rsidRPr="00A81FD8">
        <w:rPr>
          <w:rFonts w:ascii="Arial" w:hAnsi="Arial" w:cs="Arial"/>
        </w:rPr>
        <w:t>Before you lodge your submission:</w:t>
      </w:r>
    </w:p>
    <w:p w14:paraId="632D7477" w14:textId="7F3D8896" w:rsidR="00204986" w:rsidRPr="00A81FD8" w:rsidRDefault="00423621" w:rsidP="00C87BE2">
      <w:pPr>
        <w:numPr>
          <w:ilvl w:val="0"/>
          <w:numId w:val="29"/>
        </w:numPr>
        <w:suppressAutoHyphens w:val="0"/>
        <w:spacing w:before="120" w:after="120" w:line="288" w:lineRule="auto"/>
        <w:contextualSpacing/>
        <w:textAlignment w:val="baseline"/>
        <w:rPr>
          <w:rFonts w:ascii="Arial" w:eastAsia="Times New Roman" w:hAnsi="Arial" w:cs="Arial"/>
          <w:lang w:eastAsia="en-AU"/>
        </w:rPr>
      </w:pPr>
      <w:r>
        <w:rPr>
          <w:rFonts w:ascii="Arial" w:eastAsia="Times New Roman" w:hAnsi="Arial" w:cs="Arial"/>
          <w:lang w:eastAsia="en-AU"/>
        </w:rPr>
        <w:t>r</w:t>
      </w:r>
      <w:r w:rsidR="00204986" w:rsidRPr="00A81FD8">
        <w:rPr>
          <w:rFonts w:ascii="Arial" w:eastAsia="Times New Roman" w:hAnsi="Arial" w:cs="Arial"/>
          <w:lang w:eastAsia="en-AU"/>
        </w:rPr>
        <w:t>eview, edit, and check again. Have multiple people review the submission to look for plain language, spelling and grammar, clear understanding without jargon, simple terms</w:t>
      </w:r>
    </w:p>
    <w:p w14:paraId="61D9F29D" w14:textId="5A0C03C5" w:rsidR="00204986" w:rsidRPr="00A81FD8" w:rsidRDefault="00711BF6" w:rsidP="00C87BE2">
      <w:pPr>
        <w:numPr>
          <w:ilvl w:val="0"/>
          <w:numId w:val="29"/>
        </w:numPr>
        <w:suppressAutoHyphens w:val="0"/>
        <w:spacing w:before="120" w:after="120" w:line="288" w:lineRule="auto"/>
        <w:contextualSpacing/>
        <w:textAlignment w:val="baseline"/>
        <w:rPr>
          <w:rFonts w:ascii="Arial" w:eastAsia="Times New Roman" w:hAnsi="Arial" w:cs="Arial"/>
          <w:lang w:eastAsia="en-AU"/>
        </w:rPr>
      </w:pPr>
      <w:r>
        <w:rPr>
          <w:rFonts w:ascii="Arial" w:eastAsia="Times New Roman" w:hAnsi="Arial" w:cs="Arial"/>
          <w:lang w:eastAsia="en-AU"/>
        </w:rPr>
        <w:t>c</w:t>
      </w:r>
      <w:r w:rsidR="00204986" w:rsidRPr="00A81FD8">
        <w:rPr>
          <w:rFonts w:ascii="Arial" w:eastAsia="Times New Roman" w:hAnsi="Arial" w:cs="Arial"/>
          <w:lang w:eastAsia="en-AU"/>
        </w:rPr>
        <w:t>heck your response is in the requested format with all the required documentation</w:t>
      </w:r>
    </w:p>
    <w:p w14:paraId="013D54C5" w14:textId="13CFD37B" w:rsidR="00204986" w:rsidRPr="00A81FD8" w:rsidRDefault="00711BF6" w:rsidP="00C87BE2">
      <w:pPr>
        <w:numPr>
          <w:ilvl w:val="0"/>
          <w:numId w:val="29"/>
        </w:numPr>
        <w:suppressAutoHyphens w:val="0"/>
        <w:spacing w:before="120" w:after="120" w:line="288" w:lineRule="auto"/>
        <w:contextualSpacing/>
        <w:textAlignment w:val="baseline"/>
        <w:rPr>
          <w:rFonts w:ascii="Arial" w:eastAsia="Calibri" w:hAnsi="Arial" w:cs="Arial"/>
        </w:rPr>
      </w:pPr>
      <w:r>
        <w:rPr>
          <w:rFonts w:ascii="Arial" w:eastAsia="Times New Roman" w:hAnsi="Arial" w:cs="Arial"/>
          <w:lang w:eastAsia="en-AU"/>
        </w:rPr>
        <w:t>p</w:t>
      </w:r>
      <w:r w:rsidR="00204986" w:rsidRPr="00A81FD8">
        <w:rPr>
          <w:rFonts w:ascii="Arial" w:eastAsia="Times New Roman" w:hAnsi="Arial" w:cs="Arial"/>
          <w:lang w:eastAsia="en-AU"/>
        </w:rPr>
        <w:t xml:space="preserve">lan to submit early to make sure you meet the deadline and have enough time to work through lodgement issues. </w:t>
      </w:r>
      <w:r w:rsidR="00204986" w:rsidRPr="00A81FD8">
        <w:rPr>
          <w:rFonts w:ascii="Arial" w:eastAsia="Calibri" w:hAnsi="Arial" w:cs="Arial"/>
        </w:rPr>
        <w:t xml:space="preserve">For a limited tender, responses are lodged via email. Under certain panels, responses will be lodged through the relevant platform. </w:t>
      </w:r>
      <w:r w:rsidR="00204986" w:rsidRPr="00A81FD8">
        <w:rPr>
          <w:rFonts w:ascii="Arial" w:eastAsia="Times New Roman" w:hAnsi="Arial" w:cs="Arial"/>
          <w:lang w:eastAsia="en-AU"/>
        </w:rPr>
        <w:t>For an open tender, responses are generally lodged via  </w:t>
      </w:r>
      <w:hyperlink r:id="rId25" w:history="1">
        <w:r w:rsidR="00204986" w:rsidRPr="00A81FD8">
          <w:rPr>
            <w:rFonts w:ascii="Arial" w:eastAsia="Times New Roman" w:hAnsi="Arial" w:cs="Arial"/>
            <w:color w:val="0563C1"/>
            <w:u w:val="single"/>
            <w:lang w:eastAsia="en-AU"/>
          </w:rPr>
          <w:t>AusTender</w:t>
        </w:r>
      </w:hyperlink>
      <w:r w:rsidR="00204986" w:rsidRPr="00A81FD8">
        <w:rPr>
          <w:rFonts w:ascii="Arial" w:eastAsia="Times New Roman" w:hAnsi="Arial" w:cs="Arial"/>
          <w:lang w:eastAsia="en-AU"/>
        </w:rPr>
        <w:t>.</w:t>
      </w:r>
    </w:p>
    <w:p w14:paraId="5D4047EE" w14:textId="77777777" w:rsidR="00C66EF1" w:rsidRDefault="00C66EF1" w:rsidP="00C87BE2">
      <w:pPr>
        <w:spacing w:before="120" w:after="120" w:line="288" w:lineRule="auto"/>
        <w:textAlignment w:val="baseline"/>
        <w:rPr>
          <w:rFonts w:ascii="Arial" w:eastAsia="Calibri" w:hAnsi="Arial" w:cs="Arial"/>
        </w:rPr>
      </w:pPr>
    </w:p>
    <w:p w14:paraId="28E9B3FA" w14:textId="6CE661BC" w:rsidR="00204986" w:rsidRPr="00A81FD8" w:rsidRDefault="00204986" w:rsidP="00C87BE2">
      <w:pPr>
        <w:spacing w:before="120" w:after="120" w:line="288" w:lineRule="auto"/>
        <w:textAlignment w:val="baseline"/>
        <w:rPr>
          <w:rFonts w:ascii="Arial" w:eastAsia="Calibri" w:hAnsi="Arial" w:cs="Arial"/>
        </w:rPr>
      </w:pPr>
      <w:r w:rsidRPr="00A81FD8">
        <w:rPr>
          <w:rFonts w:ascii="Arial" w:eastAsia="Calibri" w:hAnsi="Arial" w:cs="Arial"/>
        </w:rPr>
        <w:t>Australian Government organisations cannot accept your response if it is submitted after the deadline, unless the delay is due solely to mishandling by the Australian Government organisation.</w:t>
      </w:r>
    </w:p>
    <w:p w14:paraId="067B9989" w14:textId="28D8183E" w:rsidR="00B6244B" w:rsidRPr="00A81FD8" w:rsidRDefault="00204986" w:rsidP="00C87BE2">
      <w:pPr>
        <w:spacing w:before="120" w:after="120" w:line="288" w:lineRule="auto"/>
        <w:rPr>
          <w:rFonts w:ascii="Arial" w:hAnsi="Arial" w:cs="Arial"/>
        </w:rPr>
      </w:pPr>
      <w:r w:rsidRPr="00A81FD8">
        <w:rPr>
          <w:rFonts w:ascii="Arial" w:eastAsia="Calibri" w:hAnsi="Arial" w:cs="Arial"/>
        </w:rPr>
        <w:lastRenderedPageBreak/>
        <w:t>If your submission is late for any other reason, by even a few minutes, it will not be accepted. If the ATM is managed through AusTender, the system will not</w:t>
      </w:r>
      <w:r w:rsidRPr="00A81FD8">
        <w:rPr>
          <w:rFonts w:ascii="Arial" w:eastAsia="Calibri" w:hAnsi="Arial" w:cs="Arial"/>
          <w:b/>
          <w:bCs/>
        </w:rPr>
        <w:t> </w:t>
      </w:r>
      <w:r w:rsidRPr="00A81FD8">
        <w:rPr>
          <w:rFonts w:ascii="Arial" w:eastAsia="Calibri" w:hAnsi="Arial" w:cs="Arial"/>
        </w:rPr>
        <w:t>allow a late tender response.</w:t>
      </w:r>
    </w:p>
    <w:p w14:paraId="5BF4B899" w14:textId="698E2AD6" w:rsidR="00B6244B" w:rsidRDefault="00B6244B" w:rsidP="00B6244B">
      <w:pPr>
        <w:pStyle w:val="Heading1"/>
      </w:pPr>
      <w:bookmarkStart w:id="27" w:name="_Toc201582909"/>
      <w:r>
        <w:t>Tender writing tips</w:t>
      </w:r>
      <w:bookmarkEnd w:id="27"/>
    </w:p>
    <w:p w14:paraId="21116CEA" w14:textId="77777777" w:rsidR="000E6CC2" w:rsidRPr="000E6CC2" w:rsidRDefault="000E6CC2" w:rsidP="00C87BE2">
      <w:pPr>
        <w:spacing w:before="120" w:after="120" w:line="288" w:lineRule="auto"/>
        <w:textAlignment w:val="baseline"/>
        <w:rPr>
          <w:rFonts w:ascii="Arial" w:eastAsia="Times New Roman" w:hAnsi="Arial" w:cs="Arial"/>
          <w:lang w:eastAsia="en-AU"/>
        </w:rPr>
      </w:pPr>
      <w:r w:rsidRPr="000E6CC2">
        <w:rPr>
          <w:rFonts w:ascii="Arial" w:eastAsia="Times New Roman" w:hAnsi="Arial" w:cs="Arial"/>
          <w:lang w:eastAsia="en-AU"/>
        </w:rPr>
        <w:t>Consider using a structured methodology when developing your tender response.  An example is the STAR method (</w:t>
      </w:r>
      <w:r w:rsidRPr="000E6CC2">
        <w:rPr>
          <w:rFonts w:ascii="Arial" w:eastAsia="Times New Roman" w:hAnsi="Arial" w:cs="Arial"/>
          <w:b/>
          <w:bCs/>
          <w:lang w:eastAsia="en-AU"/>
        </w:rPr>
        <w:t>S</w:t>
      </w:r>
      <w:r w:rsidRPr="000E6CC2">
        <w:rPr>
          <w:rFonts w:ascii="Arial" w:eastAsia="Times New Roman" w:hAnsi="Arial" w:cs="Arial"/>
          <w:lang w:eastAsia="en-AU"/>
        </w:rPr>
        <w:t xml:space="preserve">ituation </w:t>
      </w:r>
      <w:r w:rsidRPr="000E6CC2">
        <w:rPr>
          <w:rFonts w:ascii="Arial" w:eastAsia="Times New Roman" w:hAnsi="Arial" w:cs="Arial"/>
          <w:b/>
          <w:bCs/>
          <w:lang w:eastAsia="en-AU"/>
        </w:rPr>
        <w:t>T</w:t>
      </w:r>
      <w:r w:rsidRPr="000E6CC2">
        <w:rPr>
          <w:rFonts w:ascii="Arial" w:eastAsia="Times New Roman" w:hAnsi="Arial" w:cs="Arial"/>
          <w:lang w:eastAsia="en-AU"/>
        </w:rPr>
        <w:t xml:space="preserve">ask </w:t>
      </w:r>
      <w:r w:rsidRPr="000E6CC2">
        <w:rPr>
          <w:rFonts w:ascii="Arial" w:eastAsia="Times New Roman" w:hAnsi="Arial" w:cs="Arial"/>
          <w:b/>
          <w:bCs/>
          <w:lang w:eastAsia="en-AU"/>
        </w:rPr>
        <w:t>A</w:t>
      </w:r>
      <w:r w:rsidRPr="000E6CC2">
        <w:rPr>
          <w:rFonts w:ascii="Arial" w:eastAsia="Times New Roman" w:hAnsi="Arial" w:cs="Arial"/>
          <w:lang w:eastAsia="en-AU"/>
        </w:rPr>
        <w:t xml:space="preserve">ction </w:t>
      </w:r>
      <w:r w:rsidRPr="000E6CC2">
        <w:rPr>
          <w:rFonts w:ascii="Arial" w:eastAsia="Times New Roman" w:hAnsi="Arial" w:cs="Arial"/>
          <w:b/>
          <w:bCs/>
          <w:lang w:eastAsia="en-AU"/>
        </w:rPr>
        <w:t>R</w:t>
      </w:r>
      <w:r w:rsidRPr="000E6CC2">
        <w:rPr>
          <w:rFonts w:ascii="Arial" w:eastAsia="Times New Roman" w:hAnsi="Arial" w:cs="Arial"/>
          <w:lang w:eastAsia="en-AU"/>
        </w:rPr>
        <w:t xml:space="preserve">esult) which is generally used for recruitment. It can also be used as a guide for including relevant information in your tender submission and help you demonstrate your ability to provide the goods or services required. </w:t>
      </w:r>
    </w:p>
    <w:p w14:paraId="348C09ED" w14:textId="77777777" w:rsidR="000E6CC2" w:rsidRPr="000E6CC2" w:rsidRDefault="000E6CC2" w:rsidP="00C87BE2">
      <w:pPr>
        <w:spacing w:before="120" w:after="120" w:line="288" w:lineRule="auto"/>
        <w:textAlignment w:val="baseline"/>
        <w:rPr>
          <w:rFonts w:ascii="Arial" w:eastAsia="Times New Roman" w:hAnsi="Arial" w:cs="Arial"/>
          <w:lang w:eastAsia="en-AU"/>
        </w:rPr>
      </w:pPr>
      <w:r w:rsidRPr="000E6CC2">
        <w:rPr>
          <w:rFonts w:ascii="Arial" w:eastAsia="Times New Roman" w:hAnsi="Arial" w:cs="Arial"/>
          <w:lang w:eastAsia="en-AU"/>
        </w:rPr>
        <w:t xml:space="preserve">For </w:t>
      </w:r>
      <w:r w:rsidRPr="000E6CC2">
        <w:rPr>
          <w:rFonts w:ascii="Arial" w:eastAsia="Times New Roman" w:hAnsi="Arial" w:cs="Arial"/>
          <w:b/>
          <w:bCs/>
          <w:lang w:eastAsia="en-AU"/>
        </w:rPr>
        <w:t>S</w:t>
      </w:r>
      <w:r w:rsidRPr="000E6CC2">
        <w:rPr>
          <w:rFonts w:ascii="Arial" w:eastAsia="Times New Roman" w:hAnsi="Arial" w:cs="Arial"/>
          <w:lang w:eastAsia="en-AU"/>
        </w:rPr>
        <w:t>ituation – set the scene and describe the problem to be addressed</w:t>
      </w:r>
    </w:p>
    <w:p w14:paraId="7B65966C" w14:textId="77777777" w:rsidR="000E6CC2" w:rsidRPr="000E6CC2" w:rsidRDefault="000E6CC2" w:rsidP="00C87BE2">
      <w:pPr>
        <w:spacing w:before="120" w:after="120" w:line="288" w:lineRule="auto"/>
        <w:textAlignment w:val="baseline"/>
        <w:rPr>
          <w:rFonts w:ascii="Arial" w:eastAsia="Times New Roman" w:hAnsi="Arial" w:cs="Arial"/>
          <w:lang w:eastAsia="en-AU"/>
        </w:rPr>
      </w:pPr>
      <w:r w:rsidRPr="000E6CC2">
        <w:rPr>
          <w:rFonts w:ascii="Arial" w:eastAsia="Times New Roman" w:hAnsi="Arial" w:cs="Arial"/>
          <w:lang w:eastAsia="en-AU"/>
        </w:rPr>
        <w:t xml:space="preserve">For </w:t>
      </w:r>
      <w:r w:rsidRPr="000E6CC2">
        <w:rPr>
          <w:rFonts w:ascii="Arial" w:eastAsia="Times New Roman" w:hAnsi="Arial" w:cs="Arial"/>
          <w:b/>
          <w:bCs/>
          <w:lang w:eastAsia="en-AU"/>
        </w:rPr>
        <w:t>T</w:t>
      </w:r>
      <w:r w:rsidRPr="000E6CC2">
        <w:rPr>
          <w:rFonts w:ascii="Arial" w:eastAsia="Times New Roman" w:hAnsi="Arial" w:cs="Arial"/>
          <w:lang w:eastAsia="en-AU"/>
        </w:rPr>
        <w:t>ask – outline what the statement of requirements is asking your business to deliver</w:t>
      </w:r>
    </w:p>
    <w:p w14:paraId="03489876" w14:textId="77777777" w:rsidR="000E6CC2" w:rsidRPr="000E6CC2" w:rsidRDefault="000E6CC2" w:rsidP="00C87BE2">
      <w:pPr>
        <w:spacing w:before="120" w:after="120" w:line="288" w:lineRule="auto"/>
        <w:textAlignment w:val="baseline"/>
        <w:rPr>
          <w:rFonts w:ascii="Arial" w:eastAsia="Times New Roman" w:hAnsi="Arial" w:cs="Arial"/>
          <w:lang w:eastAsia="en-AU"/>
        </w:rPr>
      </w:pPr>
      <w:r w:rsidRPr="000E6CC2">
        <w:rPr>
          <w:rFonts w:ascii="Arial" w:eastAsia="Times New Roman" w:hAnsi="Arial" w:cs="Arial"/>
          <w:lang w:eastAsia="en-AU"/>
        </w:rPr>
        <w:t xml:space="preserve">For </w:t>
      </w:r>
      <w:r w:rsidRPr="000E6CC2">
        <w:rPr>
          <w:rFonts w:ascii="Arial" w:eastAsia="Times New Roman" w:hAnsi="Arial" w:cs="Arial"/>
          <w:b/>
          <w:bCs/>
          <w:lang w:eastAsia="en-AU"/>
        </w:rPr>
        <w:t>A</w:t>
      </w:r>
      <w:r w:rsidRPr="000E6CC2">
        <w:rPr>
          <w:rFonts w:ascii="Arial" w:eastAsia="Times New Roman" w:hAnsi="Arial" w:cs="Arial"/>
          <w:lang w:eastAsia="en-AU"/>
        </w:rPr>
        <w:t>ction – explain the steps that would be taken by your business to deliver and address the situation</w:t>
      </w:r>
    </w:p>
    <w:p w14:paraId="130D97A6" w14:textId="77777777" w:rsidR="000E6CC2" w:rsidRPr="000E6CC2" w:rsidRDefault="000E6CC2" w:rsidP="00C87BE2">
      <w:pPr>
        <w:spacing w:before="120" w:after="120" w:line="288" w:lineRule="auto"/>
        <w:textAlignment w:val="baseline"/>
        <w:rPr>
          <w:rFonts w:ascii="Arial" w:eastAsia="Times New Roman" w:hAnsi="Arial" w:cs="Arial"/>
          <w:lang w:eastAsia="en-AU"/>
        </w:rPr>
      </w:pPr>
      <w:r w:rsidRPr="000E6CC2">
        <w:rPr>
          <w:rFonts w:ascii="Arial" w:eastAsia="Times New Roman" w:hAnsi="Arial" w:cs="Arial"/>
          <w:lang w:eastAsia="en-AU"/>
        </w:rPr>
        <w:t xml:space="preserve">For </w:t>
      </w:r>
      <w:r w:rsidRPr="000E6CC2">
        <w:rPr>
          <w:rFonts w:ascii="Arial" w:eastAsia="Times New Roman" w:hAnsi="Arial" w:cs="Arial"/>
          <w:b/>
          <w:bCs/>
          <w:lang w:eastAsia="en-AU"/>
        </w:rPr>
        <w:t>R</w:t>
      </w:r>
      <w:r w:rsidRPr="000E6CC2">
        <w:rPr>
          <w:rFonts w:ascii="Arial" w:eastAsia="Times New Roman" w:hAnsi="Arial" w:cs="Arial"/>
          <w:lang w:eastAsia="en-AU"/>
        </w:rPr>
        <w:t>esult – share the outcomes achieved by your actions for similar requirements</w:t>
      </w:r>
    </w:p>
    <w:p w14:paraId="0B7F784D" w14:textId="77777777" w:rsidR="000E6CC2" w:rsidRPr="000E6CC2" w:rsidRDefault="000E6CC2" w:rsidP="00C87BE2">
      <w:pPr>
        <w:spacing w:before="120" w:after="120" w:line="288" w:lineRule="auto"/>
        <w:textAlignment w:val="baseline"/>
        <w:rPr>
          <w:rFonts w:ascii="Arial" w:eastAsia="Times New Roman" w:hAnsi="Arial" w:cs="Arial"/>
          <w:lang w:eastAsia="en-AU"/>
        </w:rPr>
      </w:pPr>
      <w:r w:rsidRPr="000E6CC2">
        <w:rPr>
          <w:rFonts w:ascii="Arial" w:eastAsia="Times New Roman" w:hAnsi="Arial" w:cs="Arial"/>
          <w:lang w:eastAsia="en-AU"/>
        </w:rPr>
        <w:t>By using the STAR method to shape your tender submission, it will be easier to provide a focussed response to the ATM and allow you to detail the steps and approach from your business to reach a positive outcome.</w:t>
      </w:r>
    </w:p>
    <w:p w14:paraId="15A9759B" w14:textId="77777777" w:rsidR="000E6CC2" w:rsidRPr="000E6CC2" w:rsidRDefault="000E6CC2" w:rsidP="000E6CC2"/>
    <w:p w14:paraId="6D53152B" w14:textId="7ED7DC8C" w:rsidR="003B60A6" w:rsidRPr="00681AD8" w:rsidRDefault="003B60A6" w:rsidP="00681AD8">
      <w:pPr>
        <w:pStyle w:val="Boxed1Text"/>
        <w:jc w:val="center"/>
      </w:pPr>
      <w:r w:rsidRPr="00681AD8">
        <w:rPr>
          <w:b/>
          <w:bCs/>
        </w:rPr>
        <w:t>S</w:t>
      </w:r>
      <w:r w:rsidRPr="00681AD8">
        <w:t>ituation</w:t>
      </w:r>
    </w:p>
    <w:p w14:paraId="275FF9F3" w14:textId="77777777" w:rsidR="003B60A6" w:rsidRPr="00681AD8" w:rsidRDefault="003B60A6" w:rsidP="00681AD8">
      <w:pPr>
        <w:pStyle w:val="Boxed1Text"/>
        <w:jc w:val="center"/>
      </w:pPr>
      <w:r w:rsidRPr="00681AD8">
        <w:rPr>
          <w:b/>
          <w:bCs/>
        </w:rPr>
        <w:t>T</w:t>
      </w:r>
      <w:r w:rsidRPr="00681AD8">
        <w:t>ask</w:t>
      </w:r>
    </w:p>
    <w:p w14:paraId="2804A556" w14:textId="77777777" w:rsidR="003B60A6" w:rsidRPr="00681AD8" w:rsidRDefault="003B60A6" w:rsidP="00681AD8">
      <w:pPr>
        <w:pStyle w:val="Boxed1Text"/>
        <w:jc w:val="center"/>
      </w:pPr>
      <w:r w:rsidRPr="00681AD8">
        <w:rPr>
          <w:b/>
          <w:bCs/>
        </w:rPr>
        <w:t>A</w:t>
      </w:r>
      <w:r w:rsidRPr="00681AD8">
        <w:t>ction</w:t>
      </w:r>
    </w:p>
    <w:p w14:paraId="562A62EC" w14:textId="5547A7B6" w:rsidR="00B6244B" w:rsidRPr="00681AD8" w:rsidRDefault="003B60A6" w:rsidP="00681AD8">
      <w:pPr>
        <w:pStyle w:val="Boxed1Text"/>
        <w:jc w:val="center"/>
      </w:pPr>
      <w:r w:rsidRPr="00681AD8">
        <w:rPr>
          <w:b/>
          <w:bCs/>
        </w:rPr>
        <w:t>R</w:t>
      </w:r>
      <w:r w:rsidRPr="00681AD8">
        <w:t>esult</w:t>
      </w:r>
    </w:p>
    <w:p w14:paraId="19BDEBAA" w14:textId="77777777" w:rsidR="00A575E7" w:rsidRDefault="00A575E7" w:rsidP="00914BF7">
      <w:pPr>
        <w:rPr>
          <w:rFonts w:asciiTheme="majorHAnsi" w:hAnsiTheme="majorHAnsi" w:cstheme="majorHAnsi"/>
          <w:color w:val="006066" w:themeColor="accent1"/>
          <w:sz w:val="40"/>
          <w:szCs w:val="40"/>
        </w:rPr>
      </w:pPr>
    </w:p>
    <w:p w14:paraId="717D9A4C" w14:textId="6BF4646F" w:rsidR="00914BF7" w:rsidRDefault="00914BF7" w:rsidP="00F04B9B">
      <w:pPr>
        <w:pStyle w:val="Heading1"/>
      </w:pPr>
      <w:r w:rsidRPr="00A575E7">
        <w:t>When writing your tender response, remember to:</w:t>
      </w:r>
    </w:p>
    <w:p w14:paraId="6398D193" w14:textId="77777777" w:rsidR="00C87BE2" w:rsidRPr="00A575E7" w:rsidRDefault="00C87BE2" w:rsidP="00914BF7">
      <w:pPr>
        <w:rPr>
          <w:rFonts w:asciiTheme="majorHAnsi" w:hAnsiTheme="majorHAnsi" w:cstheme="majorHAnsi"/>
          <w:color w:val="006066" w:themeColor="accent1"/>
          <w:sz w:val="40"/>
          <w:szCs w:val="40"/>
        </w:rPr>
      </w:pPr>
    </w:p>
    <w:p w14:paraId="7A955223" w14:textId="77777777" w:rsidR="00914BF7" w:rsidRPr="00914BF7" w:rsidRDefault="00914BF7" w:rsidP="00244C83">
      <w:pPr>
        <w:pStyle w:val="Boxed3Text"/>
        <w:jc w:val="center"/>
      </w:pPr>
      <w:r w:rsidRPr="00914BF7">
        <w:t>Substantiate your claims</w:t>
      </w:r>
    </w:p>
    <w:p w14:paraId="4D7D04B8" w14:textId="77777777" w:rsidR="00914BF7" w:rsidRPr="00914BF7" w:rsidRDefault="00914BF7" w:rsidP="00244C83">
      <w:pPr>
        <w:pStyle w:val="Boxed3Text"/>
        <w:jc w:val="center"/>
      </w:pPr>
      <w:r w:rsidRPr="00914BF7">
        <w:t>Be truthful and honest</w:t>
      </w:r>
    </w:p>
    <w:p w14:paraId="502AF85C" w14:textId="77777777" w:rsidR="00914BF7" w:rsidRPr="00914BF7" w:rsidRDefault="00914BF7" w:rsidP="00244C83">
      <w:pPr>
        <w:pStyle w:val="Boxed3Text"/>
        <w:jc w:val="center"/>
      </w:pPr>
      <w:r w:rsidRPr="00914BF7">
        <w:t>Utilise the maximum word limit</w:t>
      </w:r>
    </w:p>
    <w:p w14:paraId="1B86C262" w14:textId="77777777" w:rsidR="00914BF7" w:rsidRPr="00914BF7" w:rsidRDefault="00914BF7" w:rsidP="00244C83">
      <w:pPr>
        <w:pStyle w:val="Boxed3Text"/>
        <w:jc w:val="center"/>
      </w:pPr>
      <w:r w:rsidRPr="00914BF7">
        <w:t>Focus on what your business can do</w:t>
      </w:r>
    </w:p>
    <w:p w14:paraId="1BDBDEBA" w14:textId="77777777" w:rsidR="00914BF7" w:rsidRPr="00914BF7" w:rsidRDefault="00914BF7" w:rsidP="00244C83">
      <w:pPr>
        <w:pStyle w:val="Boxed3Text"/>
        <w:jc w:val="center"/>
      </w:pPr>
      <w:r w:rsidRPr="00914BF7">
        <w:t>Explain how your proposal reduces risk</w:t>
      </w:r>
    </w:p>
    <w:p w14:paraId="1C2480EA" w14:textId="5CFC5717" w:rsidR="007D10CF" w:rsidRDefault="00914BF7" w:rsidP="00244C83">
      <w:pPr>
        <w:pStyle w:val="Boxed3Text"/>
        <w:jc w:val="center"/>
      </w:pPr>
      <w:r w:rsidRPr="00914BF7">
        <w:t>Outline how you provide value for money</w:t>
      </w:r>
    </w:p>
    <w:p w14:paraId="6F86C878" w14:textId="77777777" w:rsidR="00222C1C" w:rsidRDefault="00222C1C" w:rsidP="00222C1C">
      <w:pPr>
        <w:spacing w:before="120" w:after="120" w:line="312" w:lineRule="auto"/>
        <w:textAlignment w:val="baseline"/>
        <w:rPr>
          <w:rFonts w:ascii="Calibri" w:eastAsia="Times New Roman" w:hAnsi="Calibri" w:cs="Calibri"/>
          <w:lang w:eastAsia="en-AU"/>
        </w:rPr>
      </w:pPr>
    </w:p>
    <w:p w14:paraId="0D51CF1C" w14:textId="37EF39BD" w:rsidR="00222C1C" w:rsidRPr="007415C2" w:rsidRDefault="00222C1C" w:rsidP="00C87BE2">
      <w:pPr>
        <w:spacing w:before="120" w:after="120" w:line="288" w:lineRule="auto"/>
        <w:textAlignment w:val="baseline"/>
        <w:rPr>
          <w:rFonts w:eastAsia="Times New Roman" w:cstheme="minorHAnsi"/>
          <w:lang w:eastAsia="en-AU"/>
        </w:rPr>
      </w:pPr>
      <w:r w:rsidRPr="007415C2">
        <w:rPr>
          <w:rFonts w:eastAsia="Times New Roman" w:cstheme="minorHAnsi"/>
          <w:lang w:eastAsia="en-AU"/>
        </w:rPr>
        <w:t>Remember to substantiate any claims made in your tender submission and clarify the basis for any assumptions you make, for example phrases like:</w:t>
      </w:r>
    </w:p>
    <w:p w14:paraId="16832D8E" w14:textId="6D5B3FD1" w:rsidR="00222C1C" w:rsidRPr="007415C2" w:rsidRDefault="00222C1C" w:rsidP="00C87BE2">
      <w:pPr>
        <w:pStyle w:val="ListParagraph"/>
        <w:numPr>
          <w:ilvl w:val="0"/>
          <w:numId w:val="19"/>
        </w:numPr>
        <w:spacing w:before="120" w:after="120" w:line="288" w:lineRule="auto"/>
        <w:textAlignment w:val="baseline"/>
        <w:rPr>
          <w:rFonts w:eastAsia="Times New Roman" w:cstheme="minorHAnsi"/>
          <w:lang w:eastAsia="en-AU"/>
        </w:rPr>
      </w:pPr>
      <w:r w:rsidRPr="007415C2">
        <w:rPr>
          <w:rFonts w:eastAsia="Times New Roman" w:cstheme="minorHAnsi"/>
          <w:lang w:eastAsia="en-AU"/>
        </w:rPr>
        <w:t>“up to 24 hours” (this could actually only be two minutes)</w:t>
      </w:r>
    </w:p>
    <w:p w14:paraId="417765E5" w14:textId="60AC1967" w:rsidR="00222C1C" w:rsidRPr="007415C2" w:rsidRDefault="00222C1C" w:rsidP="00C87BE2">
      <w:pPr>
        <w:pStyle w:val="ListParagraph"/>
        <w:numPr>
          <w:ilvl w:val="0"/>
          <w:numId w:val="19"/>
        </w:numPr>
        <w:spacing w:before="120" w:after="120" w:line="288" w:lineRule="auto"/>
        <w:textAlignment w:val="baseline"/>
        <w:rPr>
          <w:rFonts w:eastAsia="Times New Roman" w:cstheme="minorHAnsi"/>
          <w:lang w:eastAsia="en-AU"/>
        </w:rPr>
      </w:pPr>
      <w:r w:rsidRPr="007415C2">
        <w:rPr>
          <w:rFonts w:eastAsia="Times New Roman" w:cstheme="minorHAnsi"/>
          <w:lang w:eastAsia="en-AU"/>
        </w:rPr>
        <w:t>“we will save you 38%” (of what, when and how?)</w:t>
      </w:r>
    </w:p>
    <w:p w14:paraId="1C8CDCB5" w14:textId="45577496" w:rsidR="00222C1C" w:rsidRPr="007415C2" w:rsidRDefault="00222C1C" w:rsidP="00C87BE2">
      <w:pPr>
        <w:pStyle w:val="ListParagraph"/>
        <w:numPr>
          <w:ilvl w:val="0"/>
          <w:numId w:val="19"/>
        </w:numPr>
        <w:spacing w:before="120" w:after="120" w:line="288" w:lineRule="auto"/>
        <w:textAlignment w:val="baseline"/>
        <w:rPr>
          <w:rFonts w:eastAsia="Times New Roman" w:cstheme="minorHAnsi"/>
          <w:lang w:eastAsia="en-AU"/>
        </w:rPr>
      </w:pPr>
      <w:r w:rsidRPr="007415C2">
        <w:rPr>
          <w:rFonts w:eastAsia="Times New Roman" w:cstheme="minorHAnsi"/>
          <w:lang w:eastAsia="en-AU"/>
        </w:rPr>
        <w:t>“we will deliver more, or be better” (more of what, better than what?)</w:t>
      </w:r>
    </w:p>
    <w:p w14:paraId="62FBCF6A" w14:textId="4720751C" w:rsidR="00222C1C" w:rsidRPr="007415C2" w:rsidRDefault="00222C1C" w:rsidP="00C87BE2">
      <w:pPr>
        <w:pStyle w:val="ListParagraph"/>
        <w:numPr>
          <w:ilvl w:val="0"/>
          <w:numId w:val="19"/>
        </w:numPr>
        <w:spacing w:before="120" w:after="120" w:line="288" w:lineRule="auto"/>
        <w:textAlignment w:val="baseline"/>
        <w:rPr>
          <w:rFonts w:eastAsia="Times New Roman" w:cstheme="minorHAnsi"/>
          <w:lang w:eastAsia="en-AU"/>
        </w:rPr>
      </w:pPr>
      <w:r w:rsidRPr="007415C2">
        <w:rPr>
          <w:rFonts w:eastAsia="Times New Roman" w:cstheme="minorHAnsi"/>
          <w:lang w:eastAsia="en-AU"/>
        </w:rPr>
        <w:t>“we are the only one” (based on what?)</w:t>
      </w:r>
      <w:r w:rsidR="00927691">
        <w:rPr>
          <w:rFonts w:eastAsia="Times New Roman" w:cstheme="minorHAnsi"/>
          <w:lang w:eastAsia="en-AU"/>
        </w:rPr>
        <w:t>.</w:t>
      </w:r>
    </w:p>
    <w:p w14:paraId="7150F02B" w14:textId="77777777" w:rsidR="00222C1C" w:rsidRPr="007415C2" w:rsidRDefault="00222C1C" w:rsidP="00C87BE2">
      <w:pPr>
        <w:spacing w:before="120" w:after="120" w:line="288" w:lineRule="auto"/>
        <w:textAlignment w:val="baseline"/>
        <w:rPr>
          <w:rFonts w:eastAsia="Times New Roman" w:cstheme="minorHAnsi"/>
          <w:lang w:eastAsia="en-AU"/>
        </w:rPr>
      </w:pPr>
      <w:r w:rsidRPr="007415C2">
        <w:rPr>
          <w:rFonts w:eastAsia="Times New Roman" w:cstheme="minorHAnsi"/>
          <w:lang w:eastAsia="en-AU"/>
        </w:rPr>
        <w:t>Be truthful and honest in your responses, as everything will be checked.</w:t>
      </w:r>
    </w:p>
    <w:p w14:paraId="491A9995" w14:textId="5535016A" w:rsidR="00222C1C" w:rsidRPr="007415C2" w:rsidRDefault="00222C1C" w:rsidP="00C87BE2">
      <w:pPr>
        <w:spacing w:before="120" w:after="120" w:line="288" w:lineRule="auto"/>
        <w:textAlignment w:val="baseline"/>
        <w:rPr>
          <w:rFonts w:eastAsia="Times New Roman" w:cstheme="minorHAnsi"/>
          <w:lang w:eastAsia="en-AU"/>
        </w:rPr>
      </w:pPr>
      <w:r w:rsidRPr="007415C2">
        <w:rPr>
          <w:rFonts w:eastAsia="Times New Roman" w:cstheme="minorHAnsi"/>
          <w:lang w:eastAsia="en-AU"/>
        </w:rPr>
        <w:t>Do not rely on your businesses’ reputation and assume that government organisations know about your businesses’ capabilities– for example, do not assume that we know who you are and what you can do. The tender evaluation team can only evaluate what has been submitted as part of the tender response, and what is determined from verification activities and due diligence checks (i.e. licence and insurance checks)</w:t>
      </w:r>
      <w:r w:rsidR="006B4FFD">
        <w:rPr>
          <w:rFonts w:eastAsia="Times New Roman" w:cstheme="minorHAnsi"/>
          <w:lang w:eastAsia="en-AU"/>
        </w:rPr>
        <w:t>.</w:t>
      </w:r>
    </w:p>
    <w:p w14:paraId="1C82BBA1" w14:textId="6A26E15D" w:rsidR="00222C1C" w:rsidRPr="007415C2" w:rsidRDefault="00222C1C" w:rsidP="00C87BE2">
      <w:pPr>
        <w:spacing w:before="120" w:after="120" w:line="288" w:lineRule="auto"/>
        <w:textAlignment w:val="baseline"/>
        <w:rPr>
          <w:rFonts w:eastAsia="Times New Roman" w:cstheme="minorHAnsi"/>
          <w:lang w:eastAsia="en-AU"/>
        </w:rPr>
      </w:pPr>
      <w:r w:rsidRPr="007415C2">
        <w:rPr>
          <w:rFonts w:eastAsia="Times New Roman" w:cstheme="minorHAnsi"/>
          <w:lang w:eastAsia="en-AU"/>
        </w:rPr>
        <w:t xml:space="preserve">Focus on your what your business can do and not the work of other companies. Do not use your tender response to be critical of your competitors, </w:t>
      </w:r>
      <w:r w:rsidR="001356F2" w:rsidRPr="001356F2">
        <w:rPr>
          <w:rFonts w:eastAsia="Times New Roman" w:cstheme="minorHAnsi"/>
          <w:lang w:eastAsia="en-AU"/>
        </w:rPr>
        <w:t>as you will be wasting your word limit, instead of focusing on your businesses’ expertise and experience</w:t>
      </w:r>
      <w:r w:rsidRPr="007415C2">
        <w:rPr>
          <w:rFonts w:eastAsia="Times New Roman" w:cstheme="minorHAnsi"/>
          <w:lang w:eastAsia="en-AU"/>
        </w:rPr>
        <w:t xml:space="preserve">. </w:t>
      </w:r>
    </w:p>
    <w:p w14:paraId="5E64C270" w14:textId="77777777" w:rsidR="00222C1C" w:rsidRPr="007415C2" w:rsidRDefault="00222C1C" w:rsidP="00C87BE2">
      <w:pPr>
        <w:spacing w:before="120" w:after="120" w:line="288" w:lineRule="auto"/>
        <w:textAlignment w:val="baseline"/>
        <w:rPr>
          <w:rFonts w:eastAsia="Times New Roman" w:cstheme="minorHAnsi"/>
          <w:lang w:eastAsia="en-AU"/>
        </w:rPr>
      </w:pPr>
      <w:r w:rsidRPr="007415C2">
        <w:rPr>
          <w:rFonts w:eastAsia="Times New Roman" w:cstheme="minorHAnsi"/>
          <w:lang w:eastAsia="en-AU"/>
        </w:rPr>
        <w:t>Don’t be afraid to say “no” if necessary – admit what you can do and can’t do at the moment, and what your business can provide in the future. Ignoring a request for quote or direct request is detrimental to your business. Be open and honest about your current capabilities.</w:t>
      </w:r>
    </w:p>
    <w:p w14:paraId="5A84304E" w14:textId="77777777" w:rsidR="00222C1C" w:rsidRPr="007415C2" w:rsidRDefault="00222C1C" w:rsidP="00C87BE2">
      <w:pPr>
        <w:spacing w:before="120" w:after="120" w:line="288" w:lineRule="auto"/>
        <w:textAlignment w:val="baseline"/>
        <w:rPr>
          <w:rFonts w:eastAsia="Times New Roman" w:cstheme="minorHAnsi"/>
          <w:lang w:eastAsia="en-AU"/>
        </w:rPr>
      </w:pPr>
      <w:r w:rsidRPr="007415C2">
        <w:rPr>
          <w:rFonts w:eastAsia="Times New Roman" w:cstheme="minorHAnsi"/>
          <w:lang w:eastAsia="en-AU"/>
        </w:rPr>
        <w:t>Remember to utilise as much of the word limit as possible when preparing your tender response. If you have a significant amount of words left under the limit, you have more than likely not addressed the evaluation criteria with sufficient detail.</w:t>
      </w:r>
    </w:p>
    <w:p w14:paraId="1C3E1693" w14:textId="77777777" w:rsidR="00222C1C" w:rsidRPr="007415C2" w:rsidRDefault="00222C1C" w:rsidP="00C87BE2">
      <w:pPr>
        <w:spacing w:before="120" w:after="120" w:line="288" w:lineRule="auto"/>
        <w:textAlignment w:val="baseline"/>
        <w:rPr>
          <w:rFonts w:eastAsia="Times New Roman" w:cstheme="minorHAnsi"/>
          <w:lang w:eastAsia="en-AU"/>
        </w:rPr>
      </w:pPr>
      <w:r w:rsidRPr="007415C2">
        <w:rPr>
          <w:rFonts w:eastAsia="Times New Roman" w:cstheme="minorHAnsi"/>
          <w:lang w:eastAsia="en-AU"/>
        </w:rPr>
        <w:t xml:space="preserve">Explain in detail how your proposal reduces and manages risk, and presents as the lowest risk option. </w:t>
      </w:r>
    </w:p>
    <w:p w14:paraId="14F4D102" w14:textId="77777777" w:rsidR="00222C1C" w:rsidRPr="007415C2" w:rsidRDefault="00222C1C" w:rsidP="00C87BE2">
      <w:pPr>
        <w:spacing w:before="120" w:after="120" w:line="288" w:lineRule="auto"/>
        <w:textAlignment w:val="baseline"/>
        <w:rPr>
          <w:rFonts w:eastAsia="Times New Roman" w:cstheme="minorHAnsi"/>
          <w:lang w:eastAsia="en-AU"/>
        </w:rPr>
      </w:pPr>
      <w:r w:rsidRPr="007415C2">
        <w:rPr>
          <w:rFonts w:eastAsia="Times New Roman" w:cstheme="minorHAnsi"/>
          <w:lang w:eastAsia="en-AU"/>
        </w:rPr>
        <w:t xml:space="preserve">Do not forget to outline how your organisation’s proposition will provide the best value for money outcome and lead to continuous improvement for the government organisation. </w:t>
      </w:r>
    </w:p>
    <w:p w14:paraId="42F8818E" w14:textId="77777777" w:rsidR="00222C1C" w:rsidRDefault="00222C1C" w:rsidP="00222C1C"/>
    <w:p w14:paraId="363AC2AD" w14:textId="77777777" w:rsidR="00914BF7" w:rsidRPr="00C87BE2" w:rsidRDefault="00914BF7" w:rsidP="00E470D0">
      <w:pPr>
        <w:pStyle w:val="Boxed1Text"/>
        <w:jc w:val="center"/>
        <w:rPr>
          <w:b/>
          <w:bCs/>
        </w:rPr>
      </w:pPr>
      <w:r w:rsidRPr="00C87BE2">
        <w:rPr>
          <w:b/>
          <w:bCs/>
        </w:rPr>
        <w:t>Things to avoid:</w:t>
      </w:r>
    </w:p>
    <w:p w14:paraId="074B2558" w14:textId="77777777" w:rsidR="00914BF7" w:rsidRPr="00F06977" w:rsidRDefault="00914BF7" w:rsidP="00E470D0">
      <w:pPr>
        <w:pStyle w:val="Boxed1Text"/>
        <w:jc w:val="center"/>
      </w:pPr>
      <w:r w:rsidRPr="00F06977">
        <w:t>Including significant amounts of marketing and promotional material</w:t>
      </w:r>
    </w:p>
    <w:p w14:paraId="68E44C46" w14:textId="77777777" w:rsidR="00914BF7" w:rsidRPr="00F06977" w:rsidRDefault="00914BF7" w:rsidP="00E470D0">
      <w:pPr>
        <w:pStyle w:val="Boxed1Text"/>
        <w:jc w:val="center"/>
      </w:pPr>
      <w:r w:rsidRPr="00F06977">
        <w:t>Being critical of your competitors</w:t>
      </w:r>
    </w:p>
    <w:p w14:paraId="39B79D13" w14:textId="194F192F" w:rsidR="00914BF7" w:rsidRPr="00F06977" w:rsidRDefault="00914BF7" w:rsidP="00E470D0">
      <w:pPr>
        <w:pStyle w:val="Boxed1Text"/>
        <w:jc w:val="center"/>
      </w:pPr>
      <w:r w:rsidRPr="00F06977">
        <w:t>Assuming the Government knows and understands your capabilities</w:t>
      </w:r>
    </w:p>
    <w:p w14:paraId="6DFE6059" w14:textId="77777777" w:rsidR="00244C83" w:rsidRDefault="00244C83" w:rsidP="00DB246B">
      <w:pPr>
        <w:pStyle w:val="Heading1"/>
        <w:rPr>
          <w:rFonts w:cstheme="majorHAnsi"/>
          <w:color w:val="006066" w:themeColor="accent1"/>
          <w:szCs w:val="40"/>
        </w:rPr>
      </w:pPr>
    </w:p>
    <w:p w14:paraId="418B7830" w14:textId="77777777" w:rsidR="0079170F" w:rsidRDefault="0079170F">
      <w:pPr>
        <w:suppressAutoHyphens w:val="0"/>
        <w:spacing w:before="0" w:after="120" w:line="440" w:lineRule="atLeast"/>
        <w:rPr>
          <w:rFonts w:asciiTheme="majorHAnsi" w:eastAsiaTheme="majorEastAsia" w:hAnsiTheme="majorHAnsi" w:cstheme="majorHAnsi"/>
          <w:bCs/>
          <w:color w:val="006066" w:themeColor="accent1"/>
          <w:sz w:val="40"/>
          <w:szCs w:val="40"/>
        </w:rPr>
      </w:pPr>
      <w:r>
        <w:rPr>
          <w:rFonts w:cstheme="majorHAnsi"/>
          <w:color w:val="006066" w:themeColor="accent1"/>
          <w:szCs w:val="40"/>
        </w:rPr>
        <w:br w:type="page"/>
      </w:r>
    </w:p>
    <w:p w14:paraId="19DA64D4" w14:textId="623FB83A" w:rsidR="00DB246B" w:rsidRDefault="00DB246B" w:rsidP="00F04B9B">
      <w:pPr>
        <w:pStyle w:val="Heading1"/>
      </w:pPr>
      <w:bookmarkStart w:id="28" w:name="_Toc201582910"/>
      <w:r w:rsidRPr="00244C83">
        <w:lastRenderedPageBreak/>
        <w:t xml:space="preserve">Things </w:t>
      </w:r>
      <w:r w:rsidRPr="00F04B9B">
        <w:t>to</w:t>
      </w:r>
      <w:r w:rsidRPr="00244C83">
        <w:t xml:space="preserve"> watch out for</w:t>
      </w:r>
      <w:bookmarkEnd w:id="28"/>
    </w:p>
    <w:p w14:paraId="2926C166" w14:textId="77777777" w:rsidR="00C87BE2" w:rsidRPr="00C87BE2" w:rsidRDefault="00C87BE2" w:rsidP="00C87BE2"/>
    <w:p w14:paraId="6A5AE8BD" w14:textId="77777777" w:rsidR="00DB246B" w:rsidRPr="00DB246B" w:rsidRDefault="00DB246B" w:rsidP="00C87BE2">
      <w:pPr>
        <w:pStyle w:val="Boxed1Text"/>
        <w:spacing w:before="120" w:after="120" w:line="288" w:lineRule="auto"/>
        <w:jc w:val="center"/>
      </w:pPr>
      <w:r w:rsidRPr="00DB246B">
        <w:t>Cutting and pasting text from previous tender submissions</w:t>
      </w:r>
    </w:p>
    <w:p w14:paraId="4DCC1295" w14:textId="77777777" w:rsidR="00DB246B" w:rsidRPr="00DB246B" w:rsidRDefault="00DB246B" w:rsidP="00C87BE2">
      <w:pPr>
        <w:pStyle w:val="Boxed1Text"/>
        <w:spacing w:before="120" w:after="120" w:line="288" w:lineRule="auto"/>
        <w:jc w:val="center"/>
      </w:pPr>
      <w:r w:rsidRPr="00DB246B">
        <w:t>Repetition and using broad or vague statements</w:t>
      </w:r>
    </w:p>
    <w:p w14:paraId="5E591DAD" w14:textId="77777777" w:rsidR="00DB246B" w:rsidRPr="00DB246B" w:rsidRDefault="00DB246B" w:rsidP="00C87BE2">
      <w:pPr>
        <w:pStyle w:val="Boxed1Text"/>
        <w:spacing w:before="120" w:after="120" w:line="288" w:lineRule="auto"/>
        <w:jc w:val="center"/>
      </w:pPr>
      <w:r w:rsidRPr="00DB246B">
        <w:t>Including verbose or overly complicated language</w:t>
      </w:r>
    </w:p>
    <w:p w14:paraId="3BDC5AC8" w14:textId="77777777" w:rsidR="00DB246B" w:rsidRPr="00DB246B" w:rsidRDefault="00DB246B" w:rsidP="00C87BE2">
      <w:pPr>
        <w:pStyle w:val="Boxed1Text"/>
        <w:spacing w:before="120" w:after="120" w:line="288" w:lineRule="auto"/>
        <w:jc w:val="center"/>
      </w:pPr>
      <w:r w:rsidRPr="00DB246B">
        <w:t>Forgetting to contact your referees</w:t>
      </w:r>
    </w:p>
    <w:p w14:paraId="11F1CB82" w14:textId="3DC67CA3" w:rsidR="00966B8E" w:rsidRPr="00DB246B" w:rsidRDefault="00DB246B" w:rsidP="00C87BE2">
      <w:pPr>
        <w:pStyle w:val="Boxed1Text"/>
        <w:spacing w:before="120" w:after="120" w:line="288" w:lineRule="auto"/>
        <w:jc w:val="center"/>
      </w:pPr>
      <w:r w:rsidRPr="00DB246B">
        <w:t>Assuming the evaluation process</w:t>
      </w:r>
    </w:p>
    <w:p w14:paraId="098F6633" w14:textId="77777777" w:rsidR="00C87BE2" w:rsidRDefault="00C87BE2" w:rsidP="0079170F">
      <w:pPr>
        <w:spacing w:before="120" w:after="120" w:line="288" w:lineRule="auto"/>
        <w:ind w:left="357"/>
        <w:textAlignment w:val="baseline"/>
        <w:rPr>
          <w:rFonts w:eastAsia="Times New Roman" w:cstheme="minorHAnsi"/>
          <w:lang w:eastAsia="en-AU"/>
        </w:rPr>
      </w:pPr>
    </w:p>
    <w:p w14:paraId="7880912D" w14:textId="2193061A" w:rsidR="00DB1509" w:rsidRPr="0079170F" w:rsidRDefault="00DB1509" w:rsidP="00C87BE2">
      <w:pPr>
        <w:spacing w:before="120" w:after="120" w:line="288" w:lineRule="auto"/>
        <w:textAlignment w:val="baseline"/>
        <w:rPr>
          <w:rFonts w:eastAsia="Times New Roman" w:cstheme="minorHAnsi"/>
          <w:lang w:eastAsia="en-AU"/>
        </w:rPr>
      </w:pPr>
      <w:r w:rsidRPr="0079170F">
        <w:rPr>
          <w:rFonts w:eastAsia="Times New Roman" w:cstheme="minorHAnsi"/>
          <w:lang w:eastAsia="en-AU"/>
        </w:rPr>
        <w:t>Be careful if cutting and pasting information from previous tender responses. If you include incorrect information, such as directing the response to a different organisation or referring to an old ATM, your attention to detail will be questioned and negatively impact the tender submission.</w:t>
      </w:r>
    </w:p>
    <w:p w14:paraId="774E5F42" w14:textId="77777777" w:rsidR="00DB1509" w:rsidRPr="0079170F" w:rsidRDefault="00DB1509" w:rsidP="00C87BE2">
      <w:pPr>
        <w:spacing w:before="120" w:after="120" w:line="288" w:lineRule="auto"/>
        <w:textAlignment w:val="baseline"/>
        <w:rPr>
          <w:rFonts w:eastAsia="Times New Roman" w:cstheme="minorHAnsi"/>
          <w:lang w:eastAsia="en-AU"/>
        </w:rPr>
      </w:pPr>
      <w:r w:rsidRPr="0079170F">
        <w:rPr>
          <w:rFonts w:eastAsia="Times New Roman" w:cstheme="minorHAnsi"/>
          <w:lang w:eastAsia="en-AU"/>
        </w:rPr>
        <w:t xml:space="preserve">Remember that a tender submission is not a sales pitch. Avoid including excessive marketing material and stick to what the procuring organisation has asked for. </w:t>
      </w:r>
    </w:p>
    <w:p w14:paraId="14A9672F" w14:textId="77777777" w:rsidR="00DB1509" w:rsidRPr="0079170F" w:rsidRDefault="00DB1509" w:rsidP="00C87BE2">
      <w:pPr>
        <w:spacing w:before="120" w:after="120" w:line="288" w:lineRule="auto"/>
        <w:textAlignment w:val="baseline"/>
        <w:rPr>
          <w:rFonts w:eastAsia="Times New Roman" w:cstheme="minorHAnsi"/>
          <w:lang w:eastAsia="en-AU"/>
        </w:rPr>
      </w:pPr>
      <w:r w:rsidRPr="0079170F">
        <w:rPr>
          <w:rFonts w:eastAsia="Times New Roman" w:cstheme="minorHAnsi"/>
          <w:lang w:eastAsia="en-AU"/>
        </w:rPr>
        <w:t xml:space="preserve">Avoid repetition and broad or vague statements in your tender response. If your response is not clear and detailed, it will be difficult to evaluate and may result in your response being excluded. </w:t>
      </w:r>
    </w:p>
    <w:p w14:paraId="41E82175" w14:textId="77777777" w:rsidR="00DB1509" w:rsidRPr="0079170F" w:rsidRDefault="00DB1509" w:rsidP="00C87BE2">
      <w:pPr>
        <w:spacing w:before="120" w:after="120" w:line="288" w:lineRule="auto"/>
        <w:textAlignment w:val="baseline"/>
        <w:rPr>
          <w:rFonts w:eastAsia="Times New Roman" w:cstheme="minorHAnsi"/>
          <w:lang w:eastAsia="en-AU"/>
        </w:rPr>
      </w:pPr>
      <w:r w:rsidRPr="0079170F">
        <w:rPr>
          <w:rFonts w:eastAsia="Times New Roman" w:cstheme="minorHAnsi"/>
          <w:lang w:eastAsia="en-AU"/>
        </w:rPr>
        <w:t xml:space="preserve">Also avoid using verbose or overly complicated terminology that is not easily understood by your average reader. If you do need to outline complex concepts or ideas, ensure you provide a simple to understand explanation for a procurement official to evaluate. </w:t>
      </w:r>
    </w:p>
    <w:p w14:paraId="015865DE" w14:textId="77777777" w:rsidR="00DB1509" w:rsidRPr="0079170F" w:rsidRDefault="00DB1509" w:rsidP="00C87BE2">
      <w:pPr>
        <w:spacing w:before="120" w:after="120" w:line="288" w:lineRule="auto"/>
        <w:textAlignment w:val="baseline"/>
        <w:rPr>
          <w:rFonts w:eastAsia="Times New Roman" w:cstheme="minorHAnsi"/>
          <w:lang w:eastAsia="en-AU"/>
        </w:rPr>
      </w:pPr>
      <w:r w:rsidRPr="0079170F">
        <w:rPr>
          <w:rFonts w:eastAsia="Times New Roman" w:cstheme="minorHAnsi"/>
          <w:lang w:eastAsia="en-AU"/>
        </w:rPr>
        <w:t xml:space="preserve">Make sure your referees are relevant to the goods or services requested in the ATM. Remember to advise referees that they may be contacted to provide information about their experience working with you. </w:t>
      </w:r>
    </w:p>
    <w:p w14:paraId="37489964" w14:textId="77777777" w:rsidR="00DB1509" w:rsidRPr="0079170F" w:rsidRDefault="00DB1509" w:rsidP="00C87BE2">
      <w:pPr>
        <w:spacing w:before="120" w:after="120" w:line="288" w:lineRule="auto"/>
        <w:textAlignment w:val="baseline"/>
        <w:rPr>
          <w:rFonts w:eastAsia="Times New Roman" w:cstheme="minorHAnsi"/>
          <w:lang w:eastAsia="en-AU"/>
        </w:rPr>
      </w:pPr>
      <w:r w:rsidRPr="0079170F">
        <w:rPr>
          <w:rFonts w:eastAsia="Times New Roman" w:cstheme="minorHAnsi"/>
          <w:lang w:eastAsia="en-AU"/>
        </w:rPr>
        <w:t>If you are an SME or Indigenous business, do not assume that you are only evaluated against other similar sized or comparable businesses. Tender evaluations are conducted in an open and transparent manner that involves all tenderers being assessed equally against the evaluation criteria.</w:t>
      </w:r>
    </w:p>
    <w:p w14:paraId="77315D74" w14:textId="77777777" w:rsidR="00DB1509" w:rsidRPr="0079170F" w:rsidRDefault="00DB1509" w:rsidP="00C87BE2">
      <w:pPr>
        <w:spacing w:before="120" w:after="120" w:line="288" w:lineRule="auto"/>
        <w:textAlignment w:val="baseline"/>
        <w:rPr>
          <w:rFonts w:eastAsia="Times New Roman" w:cstheme="minorHAnsi"/>
          <w:lang w:eastAsia="en-AU"/>
        </w:rPr>
      </w:pPr>
      <w:r w:rsidRPr="0079170F">
        <w:rPr>
          <w:rFonts w:eastAsia="Times New Roman" w:cstheme="minorHAnsi"/>
          <w:lang w:eastAsia="en-AU"/>
        </w:rPr>
        <w:t>Do not assume that evaluations occur in a chronological order, unless this is specified in the ATM. For example, being asked to provide referees does not mean you have been found suitable for all previous stages of the evaluation. Separate evaluation teams may be established to review specific evaluation stages.</w:t>
      </w:r>
    </w:p>
    <w:p w14:paraId="3BDB256D" w14:textId="77777777" w:rsidR="00DB1509" w:rsidRPr="0079170F" w:rsidRDefault="00DB1509" w:rsidP="00C87BE2">
      <w:pPr>
        <w:spacing w:before="120" w:after="120" w:line="288" w:lineRule="auto"/>
        <w:textAlignment w:val="baseline"/>
        <w:rPr>
          <w:rFonts w:eastAsia="Times New Roman" w:cstheme="minorHAnsi"/>
          <w:lang w:eastAsia="en-AU"/>
        </w:rPr>
      </w:pPr>
      <w:r w:rsidRPr="0079170F">
        <w:rPr>
          <w:rFonts w:eastAsia="Times New Roman" w:cstheme="minorHAnsi"/>
          <w:lang w:eastAsia="en-AU"/>
        </w:rPr>
        <w:t>Remember to submit your best offer – do not assume that you will get a second opportunity.</w:t>
      </w:r>
    </w:p>
    <w:p w14:paraId="4B866283" w14:textId="73752210" w:rsidR="00863F5F" w:rsidRDefault="00863F5F">
      <w:pPr>
        <w:suppressAutoHyphens w:val="0"/>
        <w:spacing w:before="0" w:after="120" w:line="440" w:lineRule="atLeast"/>
        <w:rPr>
          <w:rFonts w:asciiTheme="majorHAnsi" w:eastAsiaTheme="majorEastAsia" w:hAnsiTheme="majorHAnsi" w:cstheme="majorBidi"/>
          <w:bCs/>
          <w:color w:val="006066"/>
          <w:sz w:val="40"/>
          <w:szCs w:val="28"/>
        </w:rPr>
      </w:pPr>
      <w:r>
        <w:br w:type="page"/>
      </w:r>
    </w:p>
    <w:p w14:paraId="20235786" w14:textId="2E6C64B4" w:rsidR="00966B8E" w:rsidRDefault="001B3F63" w:rsidP="00F04B9B">
      <w:pPr>
        <w:pStyle w:val="Heading1"/>
      </w:pPr>
      <w:bookmarkStart w:id="29" w:name="_Toc201582911"/>
      <w:r>
        <w:lastRenderedPageBreak/>
        <w:t>Common pitfalls</w:t>
      </w:r>
      <w:bookmarkEnd w:id="29"/>
    </w:p>
    <w:p w14:paraId="584171CB" w14:textId="77777777" w:rsidR="00C87BE2" w:rsidRPr="00C87BE2" w:rsidRDefault="00C87BE2" w:rsidP="00C87BE2"/>
    <w:p w14:paraId="5F3A9F99" w14:textId="77777777" w:rsidR="006B1459" w:rsidRDefault="006B1459" w:rsidP="006F0FC8">
      <w:pPr>
        <w:pStyle w:val="Boxed3Text"/>
        <w:jc w:val="center"/>
      </w:pPr>
      <w:r>
        <w:t>Statement of Tax Record</w:t>
      </w:r>
    </w:p>
    <w:p w14:paraId="67098CAB" w14:textId="77777777" w:rsidR="006B1459" w:rsidRDefault="006B1459" w:rsidP="006F0FC8">
      <w:pPr>
        <w:pStyle w:val="Boxed3Text"/>
        <w:jc w:val="center"/>
      </w:pPr>
      <w:r>
        <w:t>Technology</w:t>
      </w:r>
    </w:p>
    <w:p w14:paraId="661021A1" w14:textId="00757C01" w:rsidR="006B1459" w:rsidRDefault="006B1459" w:rsidP="006F0FC8">
      <w:pPr>
        <w:pStyle w:val="Boxed3Text"/>
        <w:jc w:val="center"/>
      </w:pPr>
      <w:r>
        <w:t>Clearly describing your business</w:t>
      </w:r>
    </w:p>
    <w:p w14:paraId="75D69F39" w14:textId="74665F06" w:rsidR="001B3F63" w:rsidRPr="001B3F63" w:rsidRDefault="006B1459" w:rsidP="006F0FC8">
      <w:pPr>
        <w:pStyle w:val="Boxed3Text"/>
        <w:jc w:val="center"/>
      </w:pPr>
      <w:r>
        <w:t>Value for money</w:t>
      </w:r>
    </w:p>
    <w:bookmarkEnd w:id="17"/>
    <w:p w14:paraId="54DBE8A4" w14:textId="77777777" w:rsidR="00C87BE2" w:rsidRDefault="00C87BE2" w:rsidP="006C08AD">
      <w:pPr>
        <w:spacing w:before="120" w:after="120" w:line="288" w:lineRule="auto"/>
        <w:textAlignment w:val="baseline"/>
        <w:rPr>
          <w:rFonts w:ascii="Arial" w:eastAsia="Times New Roman" w:hAnsi="Arial" w:cs="Arial"/>
          <w:lang w:eastAsia="en-AU"/>
        </w:rPr>
      </w:pPr>
    </w:p>
    <w:p w14:paraId="6AF3F698" w14:textId="61B76CF5" w:rsidR="006C08AD" w:rsidRPr="006C08AD" w:rsidRDefault="006C08AD" w:rsidP="00C87BE2">
      <w:pPr>
        <w:spacing w:before="120" w:after="120" w:line="288" w:lineRule="auto"/>
        <w:textAlignment w:val="baseline"/>
        <w:rPr>
          <w:rFonts w:ascii="Arial" w:eastAsia="Times New Roman" w:hAnsi="Arial" w:cs="Arial"/>
          <w:lang w:eastAsia="en-AU"/>
        </w:rPr>
      </w:pPr>
      <w:r w:rsidRPr="006C08AD">
        <w:rPr>
          <w:rFonts w:ascii="Arial" w:eastAsia="Times New Roman" w:hAnsi="Arial" w:cs="Arial"/>
          <w:lang w:eastAsia="en-AU"/>
        </w:rPr>
        <w:t>Common pitfalls include:</w:t>
      </w:r>
    </w:p>
    <w:p w14:paraId="2C4806A1" w14:textId="5EE1D146" w:rsidR="006C08AD" w:rsidRPr="006C08AD" w:rsidRDefault="006C08AD" w:rsidP="00C87BE2">
      <w:pPr>
        <w:numPr>
          <w:ilvl w:val="0"/>
          <w:numId w:val="31"/>
        </w:numPr>
        <w:suppressAutoHyphens w:val="0"/>
        <w:spacing w:before="120" w:after="120" w:line="288" w:lineRule="auto"/>
        <w:contextualSpacing/>
        <w:textAlignment w:val="baseline"/>
        <w:rPr>
          <w:rFonts w:ascii="Arial" w:eastAsia="Times New Roman" w:hAnsi="Arial" w:cs="Arial"/>
          <w:lang w:eastAsia="en-AU"/>
        </w:rPr>
      </w:pPr>
      <w:r w:rsidRPr="006C08AD">
        <w:rPr>
          <w:rFonts w:ascii="Arial" w:eastAsia="Times New Roman" w:hAnsi="Arial" w:cs="Arial"/>
          <w:lang w:eastAsia="en-AU"/>
        </w:rPr>
        <w:t>Leaving the Statement of Tax Record</w:t>
      </w:r>
      <w:r w:rsidR="00AE5DEB">
        <w:rPr>
          <w:rFonts w:ascii="Arial" w:eastAsia="Times New Roman" w:hAnsi="Arial" w:cs="Arial"/>
          <w:lang w:eastAsia="en-AU"/>
        </w:rPr>
        <w:t xml:space="preserve"> (STR)</w:t>
      </w:r>
      <w:r w:rsidRPr="006C08AD">
        <w:rPr>
          <w:rFonts w:ascii="Arial" w:eastAsia="Times New Roman" w:hAnsi="Arial" w:cs="Arial"/>
          <w:lang w:eastAsia="en-AU"/>
        </w:rPr>
        <w:t xml:space="preserve"> to the last minute. If you delay seeking your STR and receive an unsatisfactory STR, you may not have time to obtain a satisfactory </w:t>
      </w:r>
      <w:r w:rsidR="009F020F">
        <w:rPr>
          <w:rFonts w:ascii="Arial" w:eastAsia="Times New Roman" w:hAnsi="Arial" w:cs="Arial"/>
          <w:lang w:eastAsia="en-AU"/>
        </w:rPr>
        <w:t>STR</w:t>
      </w:r>
      <w:r w:rsidRPr="006C08AD">
        <w:rPr>
          <w:rFonts w:ascii="Arial" w:eastAsia="Times New Roman" w:hAnsi="Arial" w:cs="Arial"/>
          <w:lang w:eastAsia="en-AU"/>
        </w:rPr>
        <w:t>. Tenderers sometimes supply an STR that does not match the Tendering Organisation. For example, an STR that is for a parent company, subsidiary or other affiliated organisation.</w:t>
      </w:r>
    </w:p>
    <w:p w14:paraId="6233070F" w14:textId="77777777" w:rsidR="006C08AD" w:rsidRPr="006C08AD" w:rsidRDefault="006C08AD" w:rsidP="00C87BE2">
      <w:pPr>
        <w:numPr>
          <w:ilvl w:val="0"/>
          <w:numId w:val="31"/>
        </w:numPr>
        <w:suppressAutoHyphens w:val="0"/>
        <w:spacing w:before="120" w:after="120" w:line="288" w:lineRule="auto"/>
        <w:contextualSpacing/>
        <w:textAlignment w:val="baseline"/>
        <w:rPr>
          <w:rFonts w:ascii="Arial" w:eastAsia="Times New Roman" w:hAnsi="Arial" w:cs="Arial"/>
          <w:lang w:eastAsia="en-AU"/>
        </w:rPr>
      </w:pPr>
      <w:r w:rsidRPr="006C08AD">
        <w:rPr>
          <w:rFonts w:ascii="Arial" w:eastAsia="Times New Roman" w:hAnsi="Arial" w:cs="Arial"/>
          <w:lang w:eastAsia="en-AU"/>
        </w:rPr>
        <w:t>Not testing your technology and making sure there are no system issues well before the submission deadline.</w:t>
      </w:r>
    </w:p>
    <w:p w14:paraId="5AA2A99B" w14:textId="1378BC2A" w:rsidR="006C08AD" w:rsidRPr="006C08AD" w:rsidRDefault="006C08AD" w:rsidP="00C87BE2">
      <w:pPr>
        <w:numPr>
          <w:ilvl w:val="0"/>
          <w:numId w:val="31"/>
        </w:numPr>
        <w:suppressAutoHyphens w:val="0"/>
        <w:spacing w:before="120" w:after="120" w:line="288" w:lineRule="auto"/>
        <w:contextualSpacing/>
        <w:textAlignment w:val="baseline"/>
        <w:rPr>
          <w:rFonts w:ascii="Arial" w:eastAsia="Times New Roman" w:hAnsi="Arial" w:cs="Arial"/>
          <w:lang w:eastAsia="en-AU"/>
        </w:rPr>
      </w:pPr>
      <w:r w:rsidRPr="006C08AD">
        <w:rPr>
          <w:rFonts w:ascii="Arial" w:eastAsia="Times New Roman" w:hAnsi="Arial" w:cs="Arial"/>
          <w:lang w:eastAsia="en-AU"/>
        </w:rPr>
        <w:t>Not clearly explaining who you are and what you do, the services or products you provide, what sets you apart from competitors, and how your business can deliver against the specified requirements.</w:t>
      </w:r>
    </w:p>
    <w:p w14:paraId="1E90B6A7" w14:textId="2D519360" w:rsidR="00DA0E54" w:rsidRPr="00C87BE2" w:rsidRDefault="006C08AD" w:rsidP="00C87BE2">
      <w:pPr>
        <w:pStyle w:val="ListParagraph"/>
        <w:numPr>
          <w:ilvl w:val="0"/>
          <w:numId w:val="31"/>
        </w:numPr>
        <w:spacing w:before="120" w:after="120" w:line="288" w:lineRule="auto"/>
        <w:rPr>
          <w:rFonts w:ascii="Arial" w:hAnsi="Arial" w:cs="Arial"/>
        </w:rPr>
      </w:pPr>
      <w:r w:rsidRPr="006C08AD">
        <w:rPr>
          <w:rFonts w:ascii="Arial" w:eastAsia="Times New Roman" w:hAnsi="Arial" w:cs="Arial"/>
          <w:lang w:eastAsia="en-AU"/>
        </w:rPr>
        <w:t>Not demonstrating value for money. It is very important to understand that Australian Government organisations are looking for value for money, not just the cheapest price.</w:t>
      </w:r>
    </w:p>
    <w:p w14:paraId="65FA1D85" w14:textId="77777777" w:rsidR="00C87BE2" w:rsidRPr="006C08AD" w:rsidRDefault="00C87BE2" w:rsidP="00C87BE2">
      <w:pPr>
        <w:pStyle w:val="ListParagraph"/>
        <w:spacing w:before="120" w:after="120" w:line="288" w:lineRule="auto"/>
        <w:rPr>
          <w:rFonts w:ascii="Arial" w:hAnsi="Arial" w:cs="Arial"/>
        </w:rPr>
      </w:pPr>
    </w:p>
    <w:p w14:paraId="6D884E3A" w14:textId="0504A79C" w:rsidR="00DA0E54" w:rsidRDefault="00DA0E54" w:rsidP="00F04B9B">
      <w:pPr>
        <w:pStyle w:val="Heading1"/>
      </w:pPr>
      <w:bookmarkStart w:id="30" w:name="_Toc201582912"/>
      <w:r w:rsidRPr="00F04B9B">
        <w:t>Check</w:t>
      </w:r>
      <w:bookmarkEnd w:id="30"/>
    </w:p>
    <w:p w14:paraId="17458328" w14:textId="77777777" w:rsidR="002727F1" w:rsidRPr="002727F1" w:rsidRDefault="002727F1" w:rsidP="00C87BE2">
      <w:pPr>
        <w:spacing w:before="120" w:after="120" w:line="288" w:lineRule="auto"/>
        <w:textAlignment w:val="baseline"/>
        <w:rPr>
          <w:rFonts w:ascii="Arial" w:eastAsia="Times New Roman" w:hAnsi="Arial" w:cs="Arial"/>
          <w:lang w:eastAsia="en-AU"/>
        </w:rPr>
      </w:pPr>
      <w:r w:rsidRPr="002727F1">
        <w:rPr>
          <w:rFonts w:ascii="Arial" w:eastAsia="Times New Roman" w:hAnsi="Arial" w:cs="Arial"/>
          <w:lang w:eastAsia="en-AU"/>
        </w:rPr>
        <w:t>Before you lodge your tender response, check:</w:t>
      </w:r>
    </w:p>
    <w:p w14:paraId="60C559F0" w14:textId="2FE5AC60" w:rsidR="002727F1" w:rsidRPr="002727F1" w:rsidRDefault="00ED18EB" w:rsidP="00C87BE2">
      <w:pPr>
        <w:numPr>
          <w:ilvl w:val="0"/>
          <w:numId w:val="32"/>
        </w:numPr>
        <w:suppressAutoHyphens w:val="0"/>
        <w:spacing w:before="120" w:after="120" w:line="288" w:lineRule="auto"/>
        <w:textAlignment w:val="baseline"/>
        <w:rPr>
          <w:rFonts w:ascii="Arial" w:eastAsia="Times New Roman" w:hAnsi="Arial" w:cs="Arial"/>
          <w:lang w:eastAsia="en-AU"/>
        </w:rPr>
      </w:pPr>
      <w:r>
        <w:rPr>
          <w:rFonts w:ascii="Arial" w:eastAsia="Times New Roman" w:hAnsi="Arial" w:cs="Arial"/>
          <w:lang w:eastAsia="en-AU"/>
        </w:rPr>
        <w:t>y</w:t>
      </w:r>
      <w:r w:rsidR="002727F1" w:rsidRPr="002727F1">
        <w:rPr>
          <w:rFonts w:ascii="Arial" w:eastAsia="Times New Roman" w:hAnsi="Arial" w:cs="Arial"/>
          <w:lang w:eastAsia="en-AU"/>
        </w:rPr>
        <w:t>ou have responded to all the requirements</w:t>
      </w:r>
    </w:p>
    <w:p w14:paraId="0E18462D" w14:textId="7A00C74B" w:rsidR="002727F1" w:rsidRPr="002727F1" w:rsidRDefault="00ED18EB" w:rsidP="00C87BE2">
      <w:pPr>
        <w:numPr>
          <w:ilvl w:val="0"/>
          <w:numId w:val="32"/>
        </w:numPr>
        <w:suppressAutoHyphens w:val="0"/>
        <w:spacing w:before="120" w:after="120" w:line="288" w:lineRule="auto"/>
        <w:textAlignment w:val="baseline"/>
        <w:rPr>
          <w:rFonts w:ascii="Arial" w:eastAsia="Times New Roman" w:hAnsi="Arial" w:cs="Arial"/>
          <w:lang w:eastAsia="en-AU"/>
        </w:rPr>
      </w:pPr>
      <w:r>
        <w:rPr>
          <w:rFonts w:ascii="Arial" w:eastAsia="Times New Roman" w:hAnsi="Arial" w:cs="Arial"/>
          <w:lang w:eastAsia="en-AU"/>
        </w:rPr>
        <w:t>h</w:t>
      </w:r>
      <w:r w:rsidR="002727F1" w:rsidRPr="002727F1">
        <w:rPr>
          <w:rFonts w:ascii="Arial" w:eastAsia="Times New Roman" w:hAnsi="Arial" w:cs="Arial"/>
          <w:lang w:eastAsia="en-AU"/>
        </w:rPr>
        <w:t>ave you asked all your questions and received a response, and checked AusTender for any addendum.</w:t>
      </w:r>
    </w:p>
    <w:p w14:paraId="5448D4BC" w14:textId="4DE1AE2B" w:rsidR="002727F1" w:rsidRPr="002727F1" w:rsidRDefault="002727F1" w:rsidP="00C87BE2">
      <w:pPr>
        <w:numPr>
          <w:ilvl w:val="0"/>
          <w:numId w:val="32"/>
        </w:numPr>
        <w:suppressAutoHyphens w:val="0"/>
        <w:spacing w:before="120" w:after="120" w:line="288" w:lineRule="auto"/>
        <w:textAlignment w:val="baseline"/>
        <w:rPr>
          <w:rFonts w:ascii="Arial" w:eastAsia="Times New Roman" w:hAnsi="Arial" w:cs="Arial"/>
          <w:lang w:eastAsia="en-AU"/>
        </w:rPr>
      </w:pPr>
      <w:r w:rsidRPr="002727F1">
        <w:rPr>
          <w:rFonts w:ascii="Arial" w:eastAsia="Times New Roman" w:hAnsi="Arial" w:cs="Arial"/>
          <w:lang w:eastAsia="en-AU"/>
        </w:rPr>
        <w:t>can submit your response using the required method – no tech issues</w:t>
      </w:r>
    </w:p>
    <w:p w14:paraId="09160678" w14:textId="43D3FC3F" w:rsidR="002727F1" w:rsidRPr="002727F1" w:rsidRDefault="00E26AB1" w:rsidP="00C87BE2">
      <w:pPr>
        <w:numPr>
          <w:ilvl w:val="0"/>
          <w:numId w:val="32"/>
        </w:numPr>
        <w:suppressAutoHyphens w:val="0"/>
        <w:spacing w:before="120" w:after="120" w:line="288" w:lineRule="auto"/>
        <w:textAlignment w:val="baseline"/>
        <w:rPr>
          <w:rFonts w:ascii="Arial" w:eastAsia="Times New Roman" w:hAnsi="Arial" w:cs="Arial"/>
          <w:lang w:eastAsia="en-AU"/>
        </w:rPr>
      </w:pPr>
      <w:r>
        <w:rPr>
          <w:rFonts w:ascii="Arial" w:eastAsia="Times New Roman" w:hAnsi="Arial" w:cs="Arial"/>
          <w:lang w:eastAsia="en-AU"/>
        </w:rPr>
        <w:t>has</w:t>
      </w:r>
      <w:r w:rsidR="00A03987">
        <w:rPr>
          <w:rFonts w:ascii="Arial" w:eastAsia="Times New Roman" w:hAnsi="Arial" w:cs="Arial"/>
          <w:lang w:eastAsia="en-AU"/>
        </w:rPr>
        <w:t xml:space="preserve"> m</w:t>
      </w:r>
      <w:r w:rsidR="002727F1" w:rsidRPr="002727F1">
        <w:rPr>
          <w:rFonts w:ascii="Arial" w:eastAsia="Times New Roman" w:hAnsi="Arial" w:cs="Arial"/>
          <w:lang w:eastAsia="en-AU"/>
        </w:rPr>
        <w:t>ore than one person proofread your submission</w:t>
      </w:r>
    </w:p>
    <w:p w14:paraId="2D02D8BA" w14:textId="2C1417D8" w:rsidR="002727F1" w:rsidRPr="002727F1" w:rsidRDefault="007A339C" w:rsidP="00C87BE2">
      <w:pPr>
        <w:numPr>
          <w:ilvl w:val="0"/>
          <w:numId w:val="32"/>
        </w:numPr>
        <w:suppressAutoHyphens w:val="0"/>
        <w:spacing w:before="120" w:after="120" w:line="288" w:lineRule="auto"/>
        <w:textAlignment w:val="baseline"/>
        <w:rPr>
          <w:rFonts w:ascii="Arial" w:eastAsia="Times New Roman" w:hAnsi="Arial" w:cs="Arial"/>
          <w:lang w:eastAsia="en-AU"/>
        </w:rPr>
      </w:pPr>
      <w:r>
        <w:rPr>
          <w:rFonts w:ascii="Arial" w:eastAsia="Times New Roman" w:hAnsi="Arial" w:cs="Arial"/>
          <w:lang w:eastAsia="en-AU"/>
        </w:rPr>
        <w:t xml:space="preserve">is </w:t>
      </w:r>
      <w:r w:rsidR="00ED18EB">
        <w:rPr>
          <w:rFonts w:ascii="Arial" w:eastAsia="Times New Roman" w:hAnsi="Arial" w:cs="Arial"/>
          <w:lang w:eastAsia="en-AU"/>
        </w:rPr>
        <w:t>y</w:t>
      </w:r>
      <w:r w:rsidR="002727F1" w:rsidRPr="002727F1">
        <w:rPr>
          <w:rFonts w:ascii="Arial" w:eastAsia="Times New Roman" w:hAnsi="Arial" w:cs="Arial"/>
          <w:lang w:eastAsia="en-AU"/>
        </w:rPr>
        <w:t>our response clear, easy to read and understand, and to the point</w:t>
      </w:r>
    </w:p>
    <w:p w14:paraId="614114B6" w14:textId="02B9C8CF" w:rsidR="002727F1" w:rsidRPr="002727F1" w:rsidRDefault="002727F1" w:rsidP="00C87BE2">
      <w:pPr>
        <w:numPr>
          <w:ilvl w:val="0"/>
          <w:numId w:val="32"/>
        </w:numPr>
        <w:suppressAutoHyphens w:val="0"/>
        <w:spacing w:before="120" w:after="120" w:line="288" w:lineRule="auto"/>
        <w:textAlignment w:val="baseline"/>
        <w:rPr>
          <w:rFonts w:ascii="Arial" w:eastAsia="Times New Roman" w:hAnsi="Arial" w:cs="Arial"/>
          <w:lang w:eastAsia="en-AU"/>
        </w:rPr>
      </w:pPr>
      <w:r w:rsidRPr="002727F1">
        <w:rPr>
          <w:rFonts w:ascii="Arial" w:eastAsia="Times New Roman" w:hAnsi="Arial" w:cs="Arial"/>
          <w:lang w:eastAsia="en-AU"/>
        </w:rPr>
        <w:t>have</w:t>
      </w:r>
      <w:r w:rsidR="007A339C">
        <w:rPr>
          <w:rFonts w:ascii="Arial" w:eastAsia="Times New Roman" w:hAnsi="Arial" w:cs="Arial"/>
          <w:lang w:eastAsia="en-AU"/>
        </w:rPr>
        <w:t xml:space="preserve"> you</w:t>
      </w:r>
      <w:r w:rsidRPr="002727F1">
        <w:rPr>
          <w:rFonts w:ascii="Arial" w:eastAsia="Times New Roman" w:hAnsi="Arial" w:cs="Arial"/>
          <w:lang w:eastAsia="en-AU"/>
        </w:rPr>
        <w:t xml:space="preserve"> addressed all mandatory conditions for participation and evaluation criteria</w:t>
      </w:r>
    </w:p>
    <w:p w14:paraId="18C46C5A" w14:textId="0791AC93" w:rsidR="002727F1" w:rsidRPr="002727F1" w:rsidRDefault="002727F1" w:rsidP="00C87BE2">
      <w:pPr>
        <w:numPr>
          <w:ilvl w:val="0"/>
          <w:numId w:val="32"/>
        </w:numPr>
        <w:suppressAutoHyphens w:val="0"/>
        <w:spacing w:before="120" w:after="120" w:line="288" w:lineRule="auto"/>
        <w:textAlignment w:val="baseline"/>
        <w:rPr>
          <w:rFonts w:ascii="Arial" w:eastAsia="Times New Roman" w:hAnsi="Arial" w:cs="Arial"/>
          <w:lang w:eastAsia="en-AU"/>
        </w:rPr>
      </w:pPr>
      <w:r w:rsidRPr="002727F1">
        <w:rPr>
          <w:rFonts w:ascii="Arial" w:eastAsia="Times New Roman" w:hAnsi="Arial" w:cs="Arial"/>
          <w:lang w:eastAsia="en-AU"/>
        </w:rPr>
        <w:t>have</w:t>
      </w:r>
      <w:r w:rsidR="007A339C">
        <w:rPr>
          <w:rFonts w:ascii="Arial" w:eastAsia="Times New Roman" w:hAnsi="Arial" w:cs="Arial"/>
          <w:lang w:eastAsia="en-AU"/>
        </w:rPr>
        <w:t xml:space="preserve"> you</w:t>
      </w:r>
      <w:r w:rsidRPr="002727F1">
        <w:rPr>
          <w:rFonts w:ascii="Arial" w:eastAsia="Times New Roman" w:hAnsi="Arial" w:cs="Arial"/>
          <w:lang w:eastAsia="en-AU"/>
        </w:rPr>
        <w:t xml:space="preserve"> demonstrated value for money</w:t>
      </w:r>
    </w:p>
    <w:p w14:paraId="0DD1CFF3" w14:textId="2B50C48B" w:rsidR="00226E09" w:rsidRPr="002727F1" w:rsidRDefault="002727F1" w:rsidP="00C87BE2">
      <w:pPr>
        <w:pStyle w:val="ListParagraph"/>
        <w:numPr>
          <w:ilvl w:val="0"/>
          <w:numId w:val="32"/>
        </w:numPr>
        <w:spacing w:before="120" w:after="120" w:line="288" w:lineRule="auto"/>
        <w:rPr>
          <w:rFonts w:ascii="Arial" w:hAnsi="Arial" w:cs="Arial"/>
        </w:rPr>
      </w:pPr>
      <w:r w:rsidRPr="002727F1">
        <w:rPr>
          <w:rFonts w:ascii="Arial" w:eastAsia="Times New Roman" w:hAnsi="Arial" w:cs="Arial"/>
          <w:lang w:eastAsia="en-AU"/>
        </w:rPr>
        <w:t xml:space="preserve">have </w:t>
      </w:r>
      <w:r w:rsidR="007A339C">
        <w:rPr>
          <w:rFonts w:ascii="Arial" w:eastAsia="Times New Roman" w:hAnsi="Arial" w:cs="Arial"/>
          <w:lang w:eastAsia="en-AU"/>
        </w:rPr>
        <w:t xml:space="preserve">you </w:t>
      </w:r>
      <w:r w:rsidRPr="002727F1">
        <w:rPr>
          <w:rFonts w:ascii="Arial" w:eastAsia="Times New Roman" w:hAnsi="Arial" w:cs="Arial"/>
          <w:lang w:eastAsia="en-AU"/>
        </w:rPr>
        <w:t>emphasised what sets you apart from your competitors</w:t>
      </w:r>
      <w:r w:rsidR="003B7065">
        <w:rPr>
          <w:rFonts w:ascii="Arial" w:eastAsia="Times New Roman" w:hAnsi="Arial" w:cs="Arial"/>
          <w:lang w:eastAsia="en-AU"/>
        </w:rPr>
        <w:t>.</w:t>
      </w:r>
    </w:p>
    <w:p w14:paraId="2B35D7C0" w14:textId="21D852DF" w:rsidR="00301F16" w:rsidRDefault="00301F16" w:rsidP="00EC2E2D">
      <w:pPr>
        <w:pStyle w:val="Heading1"/>
      </w:pPr>
      <w:r>
        <w:br w:type="page"/>
      </w:r>
    </w:p>
    <w:p w14:paraId="4CCF6D52" w14:textId="7FCB1205" w:rsidR="00897DB4" w:rsidRDefault="009472B0" w:rsidP="00F04B9B">
      <w:pPr>
        <w:pStyle w:val="Heading1"/>
      </w:pPr>
      <w:bookmarkStart w:id="31" w:name="_Toc155860445"/>
      <w:bookmarkStart w:id="32" w:name="_Toc201582913"/>
      <w:r w:rsidRPr="00681CEF">
        <w:lastRenderedPageBreak/>
        <w:t xml:space="preserve">Resources and </w:t>
      </w:r>
      <w:r w:rsidRPr="00F04B9B">
        <w:t>contacts</w:t>
      </w:r>
      <w:bookmarkEnd w:id="31"/>
      <w:bookmarkEnd w:id="32"/>
    </w:p>
    <w:p w14:paraId="00479A9B" w14:textId="77777777" w:rsidR="00C87BE2" w:rsidRPr="00C87BE2" w:rsidRDefault="00C87BE2" w:rsidP="00C87BE2"/>
    <w:p w14:paraId="101745AF" w14:textId="2C27F1DE" w:rsidR="00FD31C4" w:rsidRDefault="00897DB4" w:rsidP="00C87BE2">
      <w:pPr>
        <w:pStyle w:val="Boxed1Text"/>
        <w:spacing w:before="120" w:after="120" w:line="288" w:lineRule="auto"/>
      </w:pPr>
      <w:r w:rsidRPr="00897DB4">
        <w:t xml:space="preserve">The Department of Finance’s Selling to Government website </w:t>
      </w:r>
      <w:r w:rsidR="000732B4">
        <w:t>(</w:t>
      </w:r>
      <w:hyperlink r:id="rId26" w:history="1">
        <w:r w:rsidR="000732B4" w:rsidRPr="000732B4">
          <w:rPr>
            <w:rStyle w:val="Hyperlink"/>
            <w:rFonts w:cstheme="minorBidi"/>
          </w:rPr>
          <w:t>sellingtogov.finance.gov.au</w:t>
        </w:r>
      </w:hyperlink>
      <w:r w:rsidR="000732B4">
        <w:t xml:space="preserve">) </w:t>
      </w:r>
      <w:r w:rsidRPr="00897DB4">
        <w:t>provides information to support businesses to understand how to participate in Australian Government procurement and contracting opportunities</w:t>
      </w:r>
      <w:r w:rsidR="00FD31C4">
        <w:t>.</w:t>
      </w:r>
    </w:p>
    <w:p w14:paraId="48FC406C" w14:textId="77777777" w:rsidR="00C87BE2" w:rsidRDefault="00C87BE2" w:rsidP="00B67CC6">
      <w:pPr>
        <w:spacing w:before="120" w:after="120" w:line="288" w:lineRule="auto"/>
      </w:pPr>
    </w:p>
    <w:p w14:paraId="3D517F56" w14:textId="5602EAF3" w:rsidR="00897DB4" w:rsidRPr="00897DB4" w:rsidRDefault="00FD31C4" w:rsidP="00C87BE2">
      <w:pPr>
        <w:spacing w:before="120" w:after="120" w:line="288" w:lineRule="auto"/>
      </w:pPr>
      <w:r>
        <w:t>Information available includes:</w:t>
      </w:r>
    </w:p>
    <w:p w14:paraId="7A8EE399" w14:textId="6CD71F55" w:rsidR="00897DB4" w:rsidRPr="00897DB4" w:rsidRDefault="000F2FA8" w:rsidP="00C87BE2">
      <w:pPr>
        <w:pStyle w:val="Bullet1"/>
        <w:spacing w:after="120" w:line="288" w:lineRule="auto"/>
      </w:pPr>
      <w:r>
        <w:t>w</w:t>
      </w:r>
      <w:r w:rsidR="000732B4" w:rsidRPr="00790969">
        <w:t>here to find opportunities to sell to the Australian Government </w:t>
      </w:r>
    </w:p>
    <w:p w14:paraId="56BE7139" w14:textId="2D16D93E" w:rsidR="00897DB4" w:rsidRPr="00897DB4" w:rsidRDefault="000F2FA8" w:rsidP="00C87BE2">
      <w:pPr>
        <w:pStyle w:val="Bullet1"/>
        <w:spacing w:after="120" w:line="288" w:lineRule="auto"/>
      </w:pPr>
      <w:r>
        <w:t>w</w:t>
      </w:r>
      <w:r w:rsidR="000732B4" w:rsidRPr="007A34CB">
        <w:t>hat rules and processes Australian Government organisations follow when procuring goods and services </w:t>
      </w:r>
    </w:p>
    <w:p w14:paraId="630A6F4C" w14:textId="6555F0F8" w:rsidR="00897DB4" w:rsidRPr="00897DB4" w:rsidRDefault="000F2FA8" w:rsidP="00C87BE2">
      <w:pPr>
        <w:pStyle w:val="Bullet1"/>
        <w:spacing w:after="120" w:line="288" w:lineRule="auto"/>
      </w:pPr>
      <w:r>
        <w:t>h</w:t>
      </w:r>
      <w:r w:rsidR="000732B4" w:rsidRPr="007A34CB">
        <w:t xml:space="preserve">ow to respond to an </w:t>
      </w:r>
      <w:r w:rsidR="009D0B40">
        <w:t>A</w:t>
      </w:r>
      <w:r w:rsidR="000732B4" w:rsidRPr="007A34CB">
        <w:t xml:space="preserve">pproach to </w:t>
      </w:r>
      <w:r w:rsidR="009D0B40">
        <w:t>M</w:t>
      </w:r>
      <w:r w:rsidR="000732B4" w:rsidRPr="007A34CB">
        <w:t>arket </w:t>
      </w:r>
    </w:p>
    <w:p w14:paraId="225C9D6A" w14:textId="7B8588D9" w:rsidR="00897DB4" w:rsidRPr="00897DB4" w:rsidRDefault="000F2FA8" w:rsidP="00C87BE2">
      <w:pPr>
        <w:pStyle w:val="Bullet1"/>
        <w:spacing w:after="120" w:line="288" w:lineRule="auto"/>
      </w:pPr>
      <w:r>
        <w:t>w</w:t>
      </w:r>
      <w:r w:rsidR="000732B4" w:rsidRPr="007A34CB">
        <w:t>hat to expect if you are awarded a contract.</w:t>
      </w:r>
    </w:p>
    <w:p w14:paraId="73994526" w14:textId="31896D41" w:rsidR="00897DB4" w:rsidRDefault="00897DB4" w:rsidP="00C87BE2">
      <w:pPr>
        <w:spacing w:before="120" w:after="120" w:line="288" w:lineRule="auto"/>
      </w:pPr>
      <w:r w:rsidRPr="00897DB4">
        <w:t>The Department of Finance is continuously updating the website to improve information for suppliers. </w:t>
      </w:r>
    </w:p>
    <w:p w14:paraId="1765B829" w14:textId="77777777" w:rsidR="00C87BE2" w:rsidRDefault="00C87BE2" w:rsidP="00C87BE2">
      <w:pPr>
        <w:spacing w:before="120" w:after="120" w:line="288" w:lineRule="auto"/>
      </w:pPr>
    </w:p>
    <w:p w14:paraId="03978796" w14:textId="6105E080" w:rsidR="006C5BB2" w:rsidRPr="0002702D" w:rsidRDefault="006C5BB2" w:rsidP="00C87BE2">
      <w:pPr>
        <w:pStyle w:val="Boxed3Text"/>
        <w:spacing w:before="120" w:after="120" w:line="288" w:lineRule="auto"/>
        <w:jc w:val="center"/>
      </w:pPr>
      <w:r w:rsidRPr="006C5BB2">
        <w:t xml:space="preserve">If you are interested in supplying to the Australian Government, visit </w:t>
      </w:r>
      <w:hyperlink r:id="rId27" w:history="1">
        <w:r w:rsidRPr="00BF2475">
          <w:rPr>
            <w:rStyle w:val="Hyperlink"/>
            <w:rFonts w:cstheme="minorBidi"/>
          </w:rPr>
          <w:t>sellingtogov.finance.gov.au</w:t>
        </w:r>
      </w:hyperlink>
      <w:r>
        <w:t xml:space="preserve"> </w:t>
      </w:r>
      <w:r w:rsidRPr="006C5BB2">
        <w:t>to find out more.</w:t>
      </w:r>
    </w:p>
    <w:p w14:paraId="2592C80D" w14:textId="77777777" w:rsidR="001853AE" w:rsidRDefault="001853AE" w:rsidP="00B67CC6">
      <w:pPr>
        <w:spacing w:before="120" w:after="120" w:line="288" w:lineRule="auto"/>
        <w:rPr>
          <w:rFonts w:cstheme="minorHAnsi"/>
          <w:b/>
          <w:bCs/>
        </w:rPr>
      </w:pPr>
      <w:bookmarkStart w:id="33" w:name="_Toc155860446"/>
    </w:p>
    <w:p w14:paraId="3E371234" w14:textId="01683CFE" w:rsidR="000E65A1" w:rsidRPr="00B67CC6" w:rsidRDefault="000E65A1" w:rsidP="00C87BE2">
      <w:pPr>
        <w:spacing w:before="120" w:after="120" w:line="288" w:lineRule="auto"/>
        <w:rPr>
          <w:rFonts w:cstheme="minorHAnsi"/>
        </w:rPr>
      </w:pPr>
      <w:r w:rsidRPr="00B67CC6">
        <w:rPr>
          <w:rFonts w:cstheme="minorHAnsi"/>
          <w:b/>
          <w:bCs/>
        </w:rPr>
        <w:t xml:space="preserve">Visit the </w:t>
      </w:r>
      <w:hyperlink r:id="rId28" w:history="1">
        <w:r w:rsidRPr="00F837F2">
          <w:rPr>
            <w:rStyle w:val="Hyperlink"/>
            <w:rFonts w:cstheme="minorHAnsi"/>
            <w:b/>
            <w:bCs/>
          </w:rPr>
          <w:t>AusTender Help and Information Centre</w:t>
        </w:r>
      </w:hyperlink>
      <w:r w:rsidRPr="00B67CC6">
        <w:rPr>
          <w:rFonts w:cstheme="minorHAnsi"/>
          <w:b/>
          <w:bCs/>
        </w:rPr>
        <w:t xml:space="preserve"> </w:t>
      </w:r>
    </w:p>
    <w:p w14:paraId="1BF128E1" w14:textId="1D662829" w:rsidR="00B67CC6" w:rsidRPr="00B67CC6" w:rsidRDefault="00B67CC6" w:rsidP="00C87BE2">
      <w:pPr>
        <w:spacing w:before="120" w:after="120" w:line="288" w:lineRule="auto"/>
        <w:rPr>
          <w:rFonts w:cstheme="minorHAnsi"/>
        </w:rPr>
      </w:pPr>
      <w:r w:rsidRPr="00B67CC6">
        <w:rPr>
          <w:rFonts w:eastAsia="Times New Roman" w:cstheme="minorHAnsi"/>
          <w:lang w:eastAsia="en-AU"/>
        </w:rPr>
        <w:t>Don’t forg</w:t>
      </w:r>
      <w:r w:rsidR="00B94355">
        <w:rPr>
          <w:rFonts w:eastAsia="Times New Roman" w:cstheme="minorHAnsi"/>
          <w:lang w:eastAsia="en-AU"/>
        </w:rPr>
        <w:t>e</w:t>
      </w:r>
      <w:r w:rsidRPr="00B67CC6">
        <w:rPr>
          <w:rFonts w:eastAsia="Times New Roman" w:cstheme="minorHAnsi"/>
          <w:lang w:eastAsia="en-AU"/>
        </w:rPr>
        <w:t>t that AusTender contains a wealth of procurement related information and insights into procurement trends and timing. We encourage you to utilise the information to target organisations and prime contractors and discover upcoming opportunities.</w:t>
      </w:r>
    </w:p>
    <w:p w14:paraId="00762258" w14:textId="77777777" w:rsidR="000E65A1" w:rsidRDefault="000E65A1" w:rsidP="00E3484D">
      <w:pPr>
        <w:pStyle w:val="Heading2"/>
      </w:pPr>
    </w:p>
    <w:p w14:paraId="39CF757D" w14:textId="18C2B3BD" w:rsidR="00BF77C3" w:rsidRPr="001853AE" w:rsidRDefault="0002702D" w:rsidP="00F04B9B">
      <w:pPr>
        <w:pStyle w:val="Heading1"/>
      </w:pPr>
      <w:bookmarkStart w:id="34" w:name="_Toc201582914"/>
      <w:r w:rsidRPr="001853AE">
        <w:t>Feedback</w:t>
      </w:r>
      <w:bookmarkEnd w:id="33"/>
      <w:bookmarkEnd w:id="34"/>
    </w:p>
    <w:p w14:paraId="0F847B8E" w14:textId="31DB1AAB" w:rsidR="0002702D" w:rsidRDefault="0002702D" w:rsidP="00C87BE2">
      <w:pPr>
        <w:spacing w:before="120" w:after="120" w:line="288" w:lineRule="auto"/>
      </w:pPr>
      <w:r>
        <w:t xml:space="preserve">The Department of Finance is interested in feedback on this session’s content. We are committed to providing the most useful resources to businesses wanting to know about supplying to the Australian Government. </w:t>
      </w:r>
    </w:p>
    <w:p w14:paraId="77261600" w14:textId="6D0B2FB6" w:rsidR="00BF77C3" w:rsidRDefault="0002702D" w:rsidP="00C87BE2">
      <w:pPr>
        <w:spacing w:before="120" w:after="120" w:line="288" w:lineRule="auto"/>
      </w:pPr>
      <w:r>
        <w:t xml:space="preserve">If you would like to provide feedback, please submit a short survey response </w:t>
      </w:r>
      <w:r w:rsidR="00FD31C4">
        <w:t xml:space="preserve">online </w:t>
      </w:r>
      <w:r>
        <w:t xml:space="preserve">via </w:t>
      </w:r>
      <w:r w:rsidR="00FD31C4" w:rsidRPr="000C510A">
        <w:t xml:space="preserve">the </w:t>
      </w:r>
      <w:hyperlink r:id="rId29" w:history="1">
        <w:r>
          <w:rPr>
            <w:rStyle w:val="Hyperlink"/>
            <w:rFonts w:cstheme="minorBidi"/>
          </w:rPr>
          <w:t>Workshop Feedback Form</w:t>
        </w:r>
      </w:hyperlink>
      <w:r w:rsidRPr="007A34CB">
        <w:t>.</w:t>
      </w:r>
    </w:p>
    <w:p w14:paraId="1D34E9F4" w14:textId="77777777" w:rsidR="001853AE" w:rsidRDefault="001853AE" w:rsidP="00790969"/>
    <w:p w14:paraId="24FF3228" w14:textId="0A87C5E3" w:rsidR="00BF77C3" w:rsidRPr="000E4B16" w:rsidRDefault="0002702D" w:rsidP="000E4B16">
      <w:pPr>
        <w:pStyle w:val="Heading1"/>
      </w:pPr>
      <w:bookmarkStart w:id="35" w:name="_Toc155860447"/>
      <w:bookmarkStart w:id="36" w:name="_Toc201582915"/>
      <w:r w:rsidRPr="000E4B16">
        <w:lastRenderedPageBreak/>
        <w:t>Have further questions or want to get in touch?</w:t>
      </w:r>
      <w:bookmarkEnd w:id="35"/>
      <w:bookmarkEnd w:id="36"/>
    </w:p>
    <w:p w14:paraId="5A2CE13D" w14:textId="75C96F7C" w:rsidR="00BF77C3" w:rsidRDefault="0002702D" w:rsidP="00C87BE2">
      <w:pPr>
        <w:spacing w:before="120" w:after="120" w:line="288" w:lineRule="auto"/>
      </w:pPr>
      <w:r>
        <w:t>Please submit a</w:t>
      </w:r>
      <w:r w:rsidR="00FD31C4">
        <w:t>ll</w:t>
      </w:r>
      <w:r>
        <w:t xml:space="preserve"> queries via the Selling to Government</w:t>
      </w:r>
      <w:r w:rsidR="00FD31C4">
        <w:t xml:space="preserve"> website’s</w:t>
      </w:r>
      <w:r>
        <w:t xml:space="preserve"> </w:t>
      </w:r>
      <w:hyperlink r:id="rId30" w:history="1">
        <w:r>
          <w:rPr>
            <w:rStyle w:val="Hyperlink"/>
            <w:rFonts w:cstheme="minorBidi"/>
          </w:rPr>
          <w:t>Contact Us Form</w:t>
        </w:r>
      </w:hyperlink>
      <w:r w:rsidR="005628D3">
        <w:t xml:space="preserve"> or email sellingtogov@finance.gov.au</w:t>
      </w:r>
      <w:r w:rsidRPr="007A34CB">
        <w:t>.</w:t>
      </w:r>
    </w:p>
    <w:sectPr w:rsidR="00BF77C3" w:rsidSect="004D5130">
      <w:headerReference w:type="default" r:id="rId31"/>
      <w:footerReference w:type="default" r:id="rId32"/>
      <w:pgSz w:w="11906" w:h="16838" w:code="9"/>
      <w:pgMar w:top="1418" w:right="1418" w:bottom="1021"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611D2" w14:textId="77777777" w:rsidR="00D22BE5" w:rsidRDefault="00D22BE5" w:rsidP="00EF4574">
      <w:pPr>
        <w:spacing w:before="0" w:after="0" w:line="240" w:lineRule="auto"/>
      </w:pPr>
      <w:r>
        <w:separator/>
      </w:r>
    </w:p>
    <w:p w14:paraId="54265338" w14:textId="77777777" w:rsidR="00D22BE5" w:rsidRDefault="00D22BE5"/>
  </w:endnote>
  <w:endnote w:type="continuationSeparator" w:id="0">
    <w:p w14:paraId="655A56DA" w14:textId="77777777" w:rsidR="00D22BE5" w:rsidRDefault="00D22BE5" w:rsidP="00EF4574">
      <w:pPr>
        <w:spacing w:before="0" w:after="0" w:line="240" w:lineRule="auto"/>
      </w:pPr>
      <w:r>
        <w:continuationSeparator/>
      </w:r>
    </w:p>
    <w:p w14:paraId="55C2E86C" w14:textId="77777777" w:rsidR="00D22BE5" w:rsidRDefault="00D22BE5"/>
  </w:endnote>
  <w:endnote w:type="continuationNotice" w:id="1">
    <w:p w14:paraId="19B4BB62" w14:textId="77777777" w:rsidR="00D22BE5" w:rsidRDefault="00D22B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Sans-Serif">
    <w:altName w:val="Arial"/>
    <w:panose1 w:val="00000000000000000000"/>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2240A" w14:textId="77777777" w:rsidR="00DB6D69" w:rsidRDefault="00DB6D69" w:rsidP="005D3E0C">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086333"/>
      <w:docPartObj>
        <w:docPartGallery w:val="Page Numbers (Bottom of Page)"/>
        <w:docPartUnique/>
      </w:docPartObj>
    </w:sdtPr>
    <w:sdtEndPr>
      <w:rPr>
        <w:noProof/>
      </w:rPr>
    </w:sdtEndPr>
    <w:sdtContent>
      <w:p w14:paraId="5A463ECF" w14:textId="36C5FE88" w:rsidR="00DB1572" w:rsidRDefault="00DB15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8D9529" w14:textId="29E6DAF6" w:rsidR="005D3E0C" w:rsidRPr="00B820BC" w:rsidRDefault="005D3E0C" w:rsidP="00C64B99">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3DE3B" w14:textId="77777777" w:rsidR="00D22BE5" w:rsidRDefault="00D22BE5" w:rsidP="0020122A">
      <w:pPr>
        <w:pStyle w:val="FootnoteSeparator"/>
      </w:pPr>
    </w:p>
  </w:footnote>
  <w:footnote w:type="continuationSeparator" w:id="0">
    <w:p w14:paraId="12CFE1C5" w14:textId="77777777" w:rsidR="00D22BE5" w:rsidRDefault="00D22BE5" w:rsidP="00EF4574">
      <w:pPr>
        <w:spacing w:before="0" w:after="0" w:line="240" w:lineRule="auto"/>
      </w:pPr>
      <w:r>
        <w:continuationSeparator/>
      </w:r>
    </w:p>
    <w:p w14:paraId="4C150ED8" w14:textId="77777777" w:rsidR="00D22BE5" w:rsidRDefault="00D22BE5"/>
  </w:footnote>
  <w:footnote w:type="continuationNotice" w:id="1">
    <w:p w14:paraId="6A2FC451" w14:textId="77777777" w:rsidR="00D22BE5" w:rsidRDefault="00D22BE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0216C" w14:textId="08185E50" w:rsidR="0082589D" w:rsidRPr="00C64B99" w:rsidRDefault="00825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D49"/>
    <w:multiLevelType w:val="multilevel"/>
    <w:tmpl w:val="A74A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B5B27"/>
    <w:multiLevelType w:val="hybridMultilevel"/>
    <w:tmpl w:val="C0588962"/>
    <w:lvl w:ilvl="0" w:tplc="21AAE92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417C2"/>
    <w:multiLevelType w:val="hybridMultilevel"/>
    <w:tmpl w:val="5DCCE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A7553B9"/>
    <w:multiLevelType w:val="multilevel"/>
    <w:tmpl w:val="5564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16F47"/>
    <w:multiLevelType w:val="multilevel"/>
    <w:tmpl w:val="84CA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B05D2"/>
    <w:multiLevelType w:val="hybridMultilevel"/>
    <w:tmpl w:val="13C60856"/>
    <w:lvl w:ilvl="0" w:tplc="21AAE92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96189D"/>
    <w:multiLevelType w:val="hybridMultilevel"/>
    <w:tmpl w:val="406866EC"/>
    <w:lvl w:ilvl="0" w:tplc="21AAE92C">
      <w:numFmt w:val="bullet"/>
      <w:lvlText w:val="•"/>
      <w:lvlJc w:val="left"/>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B666D9"/>
    <w:multiLevelType w:val="hybridMultilevel"/>
    <w:tmpl w:val="92984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BB05F1"/>
    <w:multiLevelType w:val="hybridMultilevel"/>
    <w:tmpl w:val="1F402318"/>
    <w:lvl w:ilvl="0" w:tplc="21AAE92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22196A"/>
    <w:multiLevelType w:val="hybridMultilevel"/>
    <w:tmpl w:val="4DE8514C"/>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262E7A39"/>
    <w:multiLevelType w:val="hybridMultilevel"/>
    <w:tmpl w:val="4F7A8B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A47B6E"/>
    <w:multiLevelType w:val="hybridMultilevel"/>
    <w:tmpl w:val="EA10E78C"/>
    <w:lvl w:ilvl="0" w:tplc="21AAE92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703D25"/>
    <w:multiLevelType w:val="hybridMultilevel"/>
    <w:tmpl w:val="27F2B4F8"/>
    <w:lvl w:ilvl="0" w:tplc="FFFFFFFF">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ind w:left="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FFFFFFFF">
      <w:start w:val="1"/>
      <w:numFmt w:val="bullet"/>
      <w:lvlText w:val="o"/>
      <w:lvlJc w:val="left"/>
      <w:pPr>
        <w:ind w:left="1440" w:hanging="360"/>
      </w:pPr>
      <w:rPr>
        <w:rFonts w:ascii="Courier New" w:hAnsi="Courier New" w:cs="Courier New"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4" w15:restartNumberingAfterBreak="0">
    <w:nsid w:val="2B226282"/>
    <w:multiLevelType w:val="hybridMultilevel"/>
    <w:tmpl w:val="FE5A496C"/>
    <w:lvl w:ilvl="0" w:tplc="FFFFFFFF">
      <w:start w:val="1"/>
      <w:numFmt w:val="ideographDigital"/>
      <w:lvlText w:val=""/>
      <w:lvlJc w:val="left"/>
    </w:lvl>
    <w:lvl w:ilvl="1" w:tplc="FFFFFFFF">
      <w:start w:val="1"/>
      <w:numFmt w:val="ideographDigital"/>
      <w:lvlText w:val=""/>
      <w:lvlJc w:val="left"/>
    </w:lvl>
    <w:lvl w:ilvl="2" w:tplc="21AAE92C">
      <w:numFmt w:val="bullet"/>
      <w:lvlText w:val="•"/>
      <w:lvlJc w:val="left"/>
      <w:pPr>
        <w:ind w:left="360" w:hanging="360"/>
      </w:pPr>
      <w:rPr>
        <w:rFonts w:ascii="Arial" w:eastAsiaTheme="minorHAnsi" w:hAnsi="Arial" w:cs="Aria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B9B159F"/>
    <w:multiLevelType w:val="multilevel"/>
    <w:tmpl w:val="1F963B4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0723A48"/>
    <w:multiLevelType w:val="hybridMultilevel"/>
    <w:tmpl w:val="4AFAB6E6"/>
    <w:lvl w:ilvl="0" w:tplc="FFFFFFFF">
      <w:start w:val="1"/>
      <w:numFmt w:val="ideographDigital"/>
      <w:lvlText w:val=""/>
      <w:lvlJc w:val="left"/>
    </w:lvl>
    <w:lvl w:ilvl="1" w:tplc="21AAE92C">
      <w:numFmt w:val="bullet"/>
      <w:lvlText w:val="•"/>
      <w:lvlJc w:val="left"/>
      <w:pPr>
        <w:ind w:left="360" w:hanging="360"/>
      </w:pPr>
      <w:rPr>
        <w:rFonts w:ascii="Arial" w:eastAsiaTheme="minorHAnsi" w:hAnsi="Arial" w:cs="Aria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2D37926"/>
    <w:multiLevelType w:val="hybridMultilevel"/>
    <w:tmpl w:val="E55C9FE6"/>
    <w:lvl w:ilvl="0" w:tplc="21AAE92C">
      <w:numFmt w:val="bullet"/>
      <w:lvlText w:val="•"/>
      <w:lvlJc w:val="left"/>
      <w:pPr>
        <w:ind w:left="1004" w:hanging="360"/>
      </w:pPr>
      <w:rPr>
        <w:rFonts w:ascii="Arial" w:eastAsiaTheme="minorHAnsi"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AF971C7"/>
    <w:multiLevelType w:val="hybridMultilevel"/>
    <w:tmpl w:val="55D2B0DA"/>
    <w:lvl w:ilvl="0" w:tplc="21AAE92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E200A2"/>
    <w:multiLevelType w:val="hybridMultilevel"/>
    <w:tmpl w:val="FABA4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0F31BF"/>
    <w:multiLevelType w:val="hybridMultilevel"/>
    <w:tmpl w:val="4DC8540E"/>
    <w:lvl w:ilvl="0" w:tplc="472E21A2">
      <w:start w:val="1"/>
      <w:numFmt w:val="bullet"/>
      <w:lvlText w:val="•"/>
      <w:lvlJc w:val="left"/>
      <w:pPr>
        <w:tabs>
          <w:tab w:val="num" w:pos="720"/>
        </w:tabs>
        <w:ind w:left="720" w:hanging="360"/>
      </w:pPr>
      <w:rPr>
        <w:rFonts w:ascii="Arial" w:hAnsi="Arial" w:hint="default"/>
      </w:rPr>
    </w:lvl>
    <w:lvl w:ilvl="1" w:tplc="99F61772" w:tentative="1">
      <w:start w:val="1"/>
      <w:numFmt w:val="bullet"/>
      <w:lvlText w:val="•"/>
      <w:lvlJc w:val="left"/>
      <w:pPr>
        <w:tabs>
          <w:tab w:val="num" w:pos="1440"/>
        </w:tabs>
        <w:ind w:left="1440" w:hanging="360"/>
      </w:pPr>
      <w:rPr>
        <w:rFonts w:ascii="Arial" w:hAnsi="Arial" w:hint="default"/>
      </w:rPr>
    </w:lvl>
    <w:lvl w:ilvl="2" w:tplc="E6D6549C" w:tentative="1">
      <w:start w:val="1"/>
      <w:numFmt w:val="bullet"/>
      <w:lvlText w:val="•"/>
      <w:lvlJc w:val="left"/>
      <w:pPr>
        <w:tabs>
          <w:tab w:val="num" w:pos="2160"/>
        </w:tabs>
        <w:ind w:left="2160" w:hanging="360"/>
      </w:pPr>
      <w:rPr>
        <w:rFonts w:ascii="Arial" w:hAnsi="Arial" w:hint="default"/>
      </w:rPr>
    </w:lvl>
    <w:lvl w:ilvl="3" w:tplc="426A49F2" w:tentative="1">
      <w:start w:val="1"/>
      <w:numFmt w:val="bullet"/>
      <w:lvlText w:val="•"/>
      <w:lvlJc w:val="left"/>
      <w:pPr>
        <w:tabs>
          <w:tab w:val="num" w:pos="2880"/>
        </w:tabs>
        <w:ind w:left="2880" w:hanging="360"/>
      </w:pPr>
      <w:rPr>
        <w:rFonts w:ascii="Arial" w:hAnsi="Arial" w:hint="default"/>
      </w:rPr>
    </w:lvl>
    <w:lvl w:ilvl="4" w:tplc="589A683A" w:tentative="1">
      <w:start w:val="1"/>
      <w:numFmt w:val="bullet"/>
      <w:lvlText w:val="•"/>
      <w:lvlJc w:val="left"/>
      <w:pPr>
        <w:tabs>
          <w:tab w:val="num" w:pos="3600"/>
        </w:tabs>
        <w:ind w:left="3600" w:hanging="360"/>
      </w:pPr>
      <w:rPr>
        <w:rFonts w:ascii="Arial" w:hAnsi="Arial" w:hint="default"/>
      </w:rPr>
    </w:lvl>
    <w:lvl w:ilvl="5" w:tplc="FD14A828" w:tentative="1">
      <w:start w:val="1"/>
      <w:numFmt w:val="bullet"/>
      <w:lvlText w:val="•"/>
      <w:lvlJc w:val="left"/>
      <w:pPr>
        <w:tabs>
          <w:tab w:val="num" w:pos="4320"/>
        </w:tabs>
        <w:ind w:left="4320" w:hanging="360"/>
      </w:pPr>
      <w:rPr>
        <w:rFonts w:ascii="Arial" w:hAnsi="Arial" w:hint="default"/>
      </w:rPr>
    </w:lvl>
    <w:lvl w:ilvl="6" w:tplc="80BE94EA" w:tentative="1">
      <w:start w:val="1"/>
      <w:numFmt w:val="bullet"/>
      <w:lvlText w:val="•"/>
      <w:lvlJc w:val="left"/>
      <w:pPr>
        <w:tabs>
          <w:tab w:val="num" w:pos="5040"/>
        </w:tabs>
        <w:ind w:left="5040" w:hanging="360"/>
      </w:pPr>
      <w:rPr>
        <w:rFonts w:ascii="Arial" w:hAnsi="Arial" w:hint="default"/>
      </w:rPr>
    </w:lvl>
    <w:lvl w:ilvl="7" w:tplc="38D23D5C" w:tentative="1">
      <w:start w:val="1"/>
      <w:numFmt w:val="bullet"/>
      <w:lvlText w:val="•"/>
      <w:lvlJc w:val="left"/>
      <w:pPr>
        <w:tabs>
          <w:tab w:val="num" w:pos="5760"/>
        </w:tabs>
        <w:ind w:left="5760" w:hanging="360"/>
      </w:pPr>
      <w:rPr>
        <w:rFonts w:ascii="Arial" w:hAnsi="Arial" w:hint="default"/>
      </w:rPr>
    </w:lvl>
    <w:lvl w:ilvl="8" w:tplc="6804E0E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306D47"/>
    <w:multiLevelType w:val="hybridMultilevel"/>
    <w:tmpl w:val="0AE66754"/>
    <w:lvl w:ilvl="0" w:tplc="EF0C2530">
      <w:start w:val="1"/>
      <w:numFmt w:val="bullet"/>
      <w:lvlText w:val="•"/>
      <w:lvlJc w:val="left"/>
      <w:pPr>
        <w:tabs>
          <w:tab w:val="num" w:pos="720"/>
        </w:tabs>
        <w:ind w:left="720" w:hanging="360"/>
      </w:pPr>
      <w:rPr>
        <w:rFonts w:ascii="Arial,Sans-Serif" w:hAnsi="Arial,Sans-Serif" w:hint="default"/>
      </w:rPr>
    </w:lvl>
    <w:lvl w:ilvl="1" w:tplc="0C090003">
      <w:start w:val="1"/>
      <w:numFmt w:val="bullet"/>
      <w:lvlText w:val="o"/>
      <w:lvlJc w:val="left"/>
      <w:pPr>
        <w:ind w:left="1440" w:hanging="360"/>
      </w:pPr>
      <w:rPr>
        <w:rFonts w:ascii="Courier New" w:hAnsi="Courier New" w:cs="Courier New" w:hint="default"/>
      </w:rPr>
    </w:lvl>
    <w:lvl w:ilvl="2" w:tplc="4D309BC0" w:tentative="1">
      <w:start w:val="1"/>
      <w:numFmt w:val="bullet"/>
      <w:lvlText w:val="•"/>
      <w:lvlJc w:val="left"/>
      <w:pPr>
        <w:tabs>
          <w:tab w:val="num" w:pos="2160"/>
        </w:tabs>
        <w:ind w:left="2160" w:hanging="360"/>
      </w:pPr>
      <w:rPr>
        <w:rFonts w:ascii="Arial,Sans-Serif" w:hAnsi="Arial,Sans-Serif" w:hint="default"/>
      </w:rPr>
    </w:lvl>
    <w:lvl w:ilvl="3" w:tplc="BAC24620" w:tentative="1">
      <w:start w:val="1"/>
      <w:numFmt w:val="bullet"/>
      <w:lvlText w:val="•"/>
      <w:lvlJc w:val="left"/>
      <w:pPr>
        <w:tabs>
          <w:tab w:val="num" w:pos="2880"/>
        </w:tabs>
        <w:ind w:left="2880" w:hanging="360"/>
      </w:pPr>
      <w:rPr>
        <w:rFonts w:ascii="Arial,Sans-Serif" w:hAnsi="Arial,Sans-Serif" w:hint="default"/>
      </w:rPr>
    </w:lvl>
    <w:lvl w:ilvl="4" w:tplc="AC10910A" w:tentative="1">
      <w:start w:val="1"/>
      <w:numFmt w:val="bullet"/>
      <w:lvlText w:val="•"/>
      <w:lvlJc w:val="left"/>
      <w:pPr>
        <w:tabs>
          <w:tab w:val="num" w:pos="3600"/>
        </w:tabs>
        <w:ind w:left="3600" w:hanging="360"/>
      </w:pPr>
      <w:rPr>
        <w:rFonts w:ascii="Arial,Sans-Serif" w:hAnsi="Arial,Sans-Serif" w:hint="default"/>
      </w:rPr>
    </w:lvl>
    <w:lvl w:ilvl="5" w:tplc="D7D0DE4C" w:tentative="1">
      <w:start w:val="1"/>
      <w:numFmt w:val="bullet"/>
      <w:lvlText w:val="•"/>
      <w:lvlJc w:val="left"/>
      <w:pPr>
        <w:tabs>
          <w:tab w:val="num" w:pos="4320"/>
        </w:tabs>
        <w:ind w:left="4320" w:hanging="360"/>
      </w:pPr>
      <w:rPr>
        <w:rFonts w:ascii="Arial,Sans-Serif" w:hAnsi="Arial,Sans-Serif" w:hint="default"/>
      </w:rPr>
    </w:lvl>
    <w:lvl w:ilvl="6" w:tplc="84CE62B2" w:tentative="1">
      <w:start w:val="1"/>
      <w:numFmt w:val="bullet"/>
      <w:lvlText w:val="•"/>
      <w:lvlJc w:val="left"/>
      <w:pPr>
        <w:tabs>
          <w:tab w:val="num" w:pos="5040"/>
        </w:tabs>
        <w:ind w:left="5040" w:hanging="360"/>
      </w:pPr>
      <w:rPr>
        <w:rFonts w:ascii="Arial,Sans-Serif" w:hAnsi="Arial,Sans-Serif" w:hint="default"/>
      </w:rPr>
    </w:lvl>
    <w:lvl w:ilvl="7" w:tplc="C1243408" w:tentative="1">
      <w:start w:val="1"/>
      <w:numFmt w:val="bullet"/>
      <w:lvlText w:val="•"/>
      <w:lvlJc w:val="left"/>
      <w:pPr>
        <w:tabs>
          <w:tab w:val="num" w:pos="5760"/>
        </w:tabs>
        <w:ind w:left="5760" w:hanging="360"/>
      </w:pPr>
      <w:rPr>
        <w:rFonts w:ascii="Arial,Sans-Serif" w:hAnsi="Arial,Sans-Serif" w:hint="default"/>
      </w:rPr>
    </w:lvl>
    <w:lvl w:ilvl="8" w:tplc="9CD882C8" w:tentative="1">
      <w:start w:val="1"/>
      <w:numFmt w:val="bullet"/>
      <w:lvlText w:val="•"/>
      <w:lvlJc w:val="left"/>
      <w:pPr>
        <w:tabs>
          <w:tab w:val="num" w:pos="6480"/>
        </w:tabs>
        <w:ind w:left="6480" w:hanging="360"/>
      </w:pPr>
      <w:rPr>
        <w:rFonts w:ascii="Arial,Sans-Serif" w:hAnsi="Arial,Sans-Serif" w:hint="default"/>
      </w:rPr>
    </w:lvl>
  </w:abstractNum>
  <w:abstractNum w:abstractNumId="22" w15:restartNumberingAfterBreak="0">
    <w:nsid w:val="56124159"/>
    <w:multiLevelType w:val="hybridMultilevel"/>
    <w:tmpl w:val="4776E2C8"/>
    <w:lvl w:ilvl="0" w:tplc="21AAE92C">
      <w:numFmt w:val="bullet"/>
      <w:lvlText w:val="•"/>
      <w:lvlJc w:val="left"/>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653792B"/>
    <w:multiLevelType w:val="hybridMultilevel"/>
    <w:tmpl w:val="8AE88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D47E00"/>
    <w:multiLevelType w:val="hybridMultilevel"/>
    <w:tmpl w:val="16760F0C"/>
    <w:lvl w:ilvl="0" w:tplc="21AAE92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67BC6889"/>
    <w:multiLevelType w:val="hybridMultilevel"/>
    <w:tmpl w:val="4B5ED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363E75"/>
    <w:multiLevelType w:val="hybridMultilevel"/>
    <w:tmpl w:val="932ED4C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3107305"/>
    <w:multiLevelType w:val="multilevel"/>
    <w:tmpl w:val="8242B862"/>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43D163F"/>
    <w:multiLevelType w:val="hybridMultilevel"/>
    <w:tmpl w:val="1326E35E"/>
    <w:lvl w:ilvl="0" w:tplc="FFFFFFFF">
      <w:start w:val="1"/>
      <w:numFmt w:val="ideographDigital"/>
      <w:lvlText w:val=""/>
      <w:lvlJc w:val="left"/>
    </w:lvl>
    <w:lvl w:ilvl="1" w:tplc="21AAE92C">
      <w:numFmt w:val="bullet"/>
      <w:lvlText w:val="•"/>
      <w:lvlJc w:val="left"/>
      <w:pPr>
        <w:ind w:left="720" w:hanging="360"/>
      </w:pPr>
      <w:rPr>
        <w:rFonts w:ascii="Arial" w:eastAsiaTheme="minorHAnsi" w:hAnsi="Arial" w:cs="Aria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6944856">
    <w:abstractNumId w:val="29"/>
    <w:lvlOverride w:ilvl="0">
      <w:lvl w:ilvl="0">
        <w:start w:val="1"/>
        <w:numFmt w:val="bullet"/>
        <w:pStyle w:val="Bullet1"/>
        <w:lvlText w:val=""/>
        <w:lvlJc w:val="left"/>
        <w:pPr>
          <w:ind w:left="284" w:hanging="284"/>
        </w:pPr>
        <w:rPr>
          <w:rFonts w:ascii="Symbol" w:hAnsi="Symbol" w:hint="default"/>
          <w:color w:val="auto"/>
          <w:sz w:val="22"/>
          <w:szCs w:val="22"/>
        </w:rPr>
      </w:lvl>
    </w:lvlOverride>
    <w:lvlOverride w:ilvl="6">
      <w:lvl w:ilvl="6">
        <w:start w:val="1"/>
        <w:numFmt w:val="decimal"/>
        <w:lvlText w:val="%7."/>
        <w:lvlJc w:val="left"/>
        <w:pPr>
          <w:ind w:left="284" w:hanging="284"/>
        </w:pPr>
        <w:rPr>
          <w:rFonts w:hint="default"/>
        </w:rPr>
      </w:lvl>
    </w:lvlOverride>
  </w:num>
  <w:num w:numId="2" w16cid:durableId="401296168">
    <w:abstractNumId w:val="3"/>
  </w:num>
  <w:num w:numId="3" w16cid:durableId="377240805">
    <w:abstractNumId w:val="15"/>
  </w:num>
  <w:num w:numId="4" w16cid:durableId="1803309632">
    <w:abstractNumId w:val="25"/>
  </w:num>
  <w:num w:numId="5" w16cid:durableId="2136479482">
    <w:abstractNumId w:val="26"/>
  </w:num>
  <w:num w:numId="6" w16cid:durableId="249898813">
    <w:abstractNumId w:val="29"/>
  </w:num>
  <w:num w:numId="7" w16cid:durableId="2001613212">
    <w:abstractNumId w:val="5"/>
  </w:num>
  <w:num w:numId="8" w16cid:durableId="447353387">
    <w:abstractNumId w:val="10"/>
  </w:num>
  <w:num w:numId="9" w16cid:durableId="961375234">
    <w:abstractNumId w:val="27"/>
  </w:num>
  <w:num w:numId="10" w16cid:durableId="1767533905">
    <w:abstractNumId w:val="14"/>
  </w:num>
  <w:num w:numId="11" w16cid:durableId="276523015">
    <w:abstractNumId w:val="16"/>
  </w:num>
  <w:num w:numId="12" w16cid:durableId="238712803">
    <w:abstractNumId w:val="6"/>
  </w:num>
  <w:num w:numId="13" w16cid:durableId="1415661210">
    <w:abstractNumId w:val="18"/>
  </w:num>
  <w:num w:numId="14" w16cid:durableId="979771410">
    <w:abstractNumId w:val="9"/>
  </w:num>
  <w:num w:numId="15" w16cid:durableId="72363361">
    <w:abstractNumId w:val="12"/>
  </w:num>
  <w:num w:numId="16" w16cid:durableId="850947072">
    <w:abstractNumId w:val="30"/>
  </w:num>
  <w:num w:numId="17" w16cid:durableId="843056782">
    <w:abstractNumId w:val="22"/>
  </w:num>
  <w:num w:numId="18" w16cid:durableId="1794908869">
    <w:abstractNumId w:val="7"/>
  </w:num>
  <w:num w:numId="19" w16cid:durableId="516041623">
    <w:abstractNumId w:val="1"/>
  </w:num>
  <w:num w:numId="20" w16cid:durableId="1322807145">
    <w:abstractNumId w:val="24"/>
  </w:num>
  <w:num w:numId="21" w16cid:durableId="179468974">
    <w:abstractNumId w:val="11"/>
  </w:num>
  <w:num w:numId="22" w16cid:durableId="1076511029">
    <w:abstractNumId w:val="28"/>
  </w:num>
  <w:num w:numId="23" w16cid:durableId="1727950515">
    <w:abstractNumId w:val="13"/>
  </w:num>
  <w:num w:numId="24" w16cid:durableId="1025054651">
    <w:abstractNumId w:val="2"/>
  </w:num>
  <w:num w:numId="25" w16cid:durableId="1431052028">
    <w:abstractNumId w:val="19"/>
  </w:num>
  <w:num w:numId="26" w16cid:durableId="1555922830">
    <w:abstractNumId w:val="21"/>
  </w:num>
  <w:num w:numId="27" w16cid:durableId="1523587636">
    <w:abstractNumId w:val="4"/>
  </w:num>
  <w:num w:numId="28" w16cid:durableId="512690571">
    <w:abstractNumId w:val="0"/>
  </w:num>
  <w:num w:numId="29" w16cid:durableId="310260284">
    <w:abstractNumId w:val="23"/>
  </w:num>
  <w:num w:numId="30" w16cid:durableId="618298017">
    <w:abstractNumId w:val="17"/>
  </w:num>
  <w:num w:numId="31" w16cid:durableId="1068040515">
    <w:abstractNumId w:val="8"/>
  </w:num>
  <w:num w:numId="32" w16cid:durableId="105527985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30"/>
    <w:rsid w:val="0000096F"/>
    <w:rsid w:val="0000204C"/>
    <w:rsid w:val="00003FD0"/>
    <w:rsid w:val="000062CF"/>
    <w:rsid w:val="000076BA"/>
    <w:rsid w:val="00011770"/>
    <w:rsid w:val="00011F0B"/>
    <w:rsid w:val="00013423"/>
    <w:rsid w:val="00014465"/>
    <w:rsid w:val="00015759"/>
    <w:rsid w:val="000200C6"/>
    <w:rsid w:val="00020C07"/>
    <w:rsid w:val="00023C4D"/>
    <w:rsid w:val="00024C7C"/>
    <w:rsid w:val="0002702D"/>
    <w:rsid w:val="0002752A"/>
    <w:rsid w:val="0002782F"/>
    <w:rsid w:val="00027D0F"/>
    <w:rsid w:val="000339EB"/>
    <w:rsid w:val="00034A20"/>
    <w:rsid w:val="00036D13"/>
    <w:rsid w:val="00042623"/>
    <w:rsid w:val="000426E0"/>
    <w:rsid w:val="000440B1"/>
    <w:rsid w:val="0004541F"/>
    <w:rsid w:val="00045B81"/>
    <w:rsid w:val="0004651A"/>
    <w:rsid w:val="00054E3C"/>
    <w:rsid w:val="00054E4D"/>
    <w:rsid w:val="000551F9"/>
    <w:rsid w:val="00056580"/>
    <w:rsid w:val="00060073"/>
    <w:rsid w:val="000603C7"/>
    <w:rsid w:val="00060D02"/>
    <w:rsid w:val="000642A4"/>
    <w:rsid w:val="0006725E"/>
    <w:rsid w:val="000712F4"/>
    <w:rsid w:val="000732B4"/>
    <w:rsid w:val="0007437B"/>
    <w:rsid w:val="00076DC5"/>
    <w:rsid w:val="00077382"/>
    <w:rsid w:val="00077A5A"/>
    <w:rsid w:val="00077B28"/>
    <w:rsid w:val="000829F4"/>
    <w:rsid w:val="00082BCB"/>
    <w:rsid w:val="000831EA"/>
    <w:rsid w:val="00087CF2"/>
    <w:rsid w:val="00092A2C"/>
    <w:rsid w:val="00096602"/>
    <w:rsid w:val="000969CF"/>
    <w:rsid w:val="00096FDB"/>
    <w:rsid w:val="00096FF0"/>
    <w:rsid w:val="000970A2"/>
    <w:rsid w:val="000A1546"/>
    <w:rsid w:val="000A3E8D"/>
    <w:rsid w:val="000A46ED"/>
    <w:rsid w:val="000A4B30"/>
    <w:rsid w:val="000A6A8B"/>
    <w:rsid w:val="000A71BB"/>
    <w:rsid w:val="000A7BFD"/>
    <w:rsid w:val="000B1B0B"/>
    <w:rsid w:val="000B1BEB"/>
    <w:rsid w:val="000B2CEC"/>
    <w:rsid w:val="000B4A84"/>
    <w:rsid w:val="000B5B40"/>
    <w:rsid w:val="000B69B4"/>
    <w:rsid w:val="000B6D5E"/>
    <w:rsid w:val="000C2A48"/>
    <w:rsid w:val="000C4382"/>
    <w:rsid w:val="000C5F75"/>
    <w:rsid w:val="000D367A"/>
    <w:rsid w:val="000D3CEA"/>
    <w:rsid w:val="000D4292"/>
    <w:rsid w:val="000D5CD1"/>
    <w:rsid w:val="000D5ED7"/>
    <w:rsid w:val="000D60B1"/>
    <w:rsid w:val="000E3320"/>
    <w:rsid w:val="000E4B16"/>
    <w:rsid w:val="000E65A1"/>
    <w:rsid w:val="000E6CC2"/>
    <w:rsid w:val="000E78EA"/>
    <w:rsid w:val="000E7A82"/>
    <w:rsid w:val="000F2FA8"/>
    <w:rsid w:val="000F3FA6"/>
    <w:rsid w:val="000F46BA"/>
    <w:rsid w:val="000F4CE6"/>
    <w:rsid w:val="000F5011"/>
    <w:rsid w:val="000F572B"/>
    <w:rsid w:val="000F74BA"/>
    <w:rsid w:val="000F7B3D"/>
    <w:rsid w:val="000F7EE1"/>
    <w:rsid w:val="00102EC7"/>
    <w:rsid w:val="00103B0A"/>
    <w:rsid w:val="00103DC8"/>
    <w:rsid w:val="00111130"/>
    <w:rsid w:val="00112B5B"/>
    <w:rsid w:val="00112DBE"/>
    <w:rsid w:val="00113F04"/>
    <w:rsid w:val="00115C57"/>
    <w:rsid w:val="001161CB"/>
    <w:rsid w:val="00117129"/>
    <w:rsid w:val="001175F1"/>
    <w:rsid w:val="00117C83"/>
    <w:rsid w:val="001213A1"/>
    <w:rsid w:val="0012306C"/>
    <w:rsid w:val="00123B79"/>
    <w:rsid w:val="001245D6"/>
    <w:rsid w:val="00126A9C"/>
    <w:rsid w:val="0013049C"/>
    <w:rsid w:val="00130904"/>
    <w:rsid w:val="001316EE"/>
    <w:rsid w:val="001334BD"/>
    <w:rsid w:val="0013403B"/>
    <w:rsid w:val="001356F2"/>
    <w:rsid w:val="00136530"/>
    <w:rsid w:val="00137C2E"/>
    <w:rsid w:val="0014170D"/>
    <w:rsid w:val="00143B4F"/>
    <w:rsid w:val="00151346"/>
    <w:rsid w:val="0015175D"/>
    <w:rsid w:val="001528EB"/>
    <w:rsid w:val="0015368B"/>
    <w:rsid w:val="001541EA"/>
    <w:rsid w:val="001555BB"/>
    <w:rsid w:val="001562F3"/>
    <w:rsid w:val="00157946"/>
    <w:rsid w:val="001609E8"/>
    <w:rsid w:val="00160A16"/>
    <w:rsid w:val="001612A4"/>
    <w:rsid w:val="00161B82"/>
    <w:rsid w:val="0016298A"/>
    <w:rsid w:val="00163F7A"/>
    <w:rsid w:val="001669C7"/>
    <w:rsid w:val="00172234"/>
    <w:rsid w:val="00173A61"/>
    <w:rsid w:val="00177008"/>
    <w:rsid w:val="001821BB"/>
    <w:rsid w:val="00182749"/>
    <w:rsid w:val="001842AA"/>
    <w:rsid w:val="001853AE"/>
    <w:rsid w:val="001859CF"/>
    <w:rsid w:val="00186B15"/>
    <w:rsid w:val="00187406"/>
    <w:rsid w:val="00190FD9"/>
    <w:rsid w:val="00192CA2"/>
    <w:rsid w:val="00193FD4"/>
    <w:rsid w:val="00195C9C"/>
    <w:rsid w:val="0019608C"/>
    <w:rsid w:val="00196C1E"/>
    <w:rsid w:val="001A3F56"/>
    <w:rsid w:val="001A638A"/>
    <w:rsid w:val="001A6B66"/>
    <w:rsid w:val="001B03AA"/>
    <w:rsid w:val="001B0601"/>
    <w:rsid w:val="001B3F63"/>
    <w:rsid w:val="001B40F3"/>
    <w:rsid w:val="001C11A4"/>
    <w:rsid w:val="001C3D63"/>
    <w:rsid w:val="001D1656"/>
    <w:rsid w:val="001D1B88"/>
    <w:rsid w:val="001D26E9"/>
    <w:rsid w:val="001D392B"/>
    <w:rsid w:val="001D3DE4"/>
    <w:rsid w:val="001D4B37"/>
    <w:rsid w:val="001D5326"/>
    <w:rsid w:val="001D6BD2"/>
    <w:rsid w:val="001D7EB4"/>
    <w:rsid w:val="001E1DC0"/>
    <w:rsid w:val="001E4137"/>
    <w:rsid w:val="001E4436"/>
    <w:rsid w:val="001E5408"/>
    <w:rsid w:val="001E59DE"/>
    <w:rsid w:val="001F68B8"/>
    <w:rsid w:val="00200486"/>
    <w:rsid w:val="0020091C"/>
    <w:rsid w:val="0020114B"/>
    <w:rsid w:val="0020122A"/>
    <w:rsid w:val="0020334F"/>
    <w:rsid w:val="00203618"/>
    <w:rsid w:val="00204986"/>
    <w:rsid w:val="00206530"/>
    <w:rsid w:val="00207470"/>
    <w:rsid w:val="00210498"/>
    <w:rsid w:val="00214282"/>
    <w:rsid w:val="002159C1"/>
    <w:rsid w:val="00215C22"/>
    <w:rsid w:val="00221343"/>
    <w:rsid w:val="00221BA1"/>
    <w:rsid w:val="00222C1C"/>
    <w:rsid w:val="00223CA9"/>
    <w:rsid w:val="00226148"/>
    <w:rsid w:val="00226E09"/>
    <w:rsid w:val="002333E7"/>
    <w:rsid w:val="00233D5D"/>
    <w:rsid w:val="002347F7"/>
    <w:rsid w:val="0023516A"/>
    <w:rsid w:val="00240936"/>
    <w:rsid w:val="002414D2"/>
    <w:rsid w:val="00242FB2"/>
    <w:rsid w:val="00243627"/>
    <w:rsid w:val="00244C24"/>
    <w:rsid w:val="00244C83"/>
    <w:rsid w:val="00247C4D"/>
    <w:rsid w:val="00250352"/>
    <w:rsid w:val="00252778"/>
    <w:rsid w:val="002541DA"/>
    <w:rsid w:val="00254293"/>
    <w:rsid w:val="00254A11"/>
    <w:rsid w:val="00262FAB"/>
    <w:rsid w:val="00265975"/>
    <w:rsid w:val="00266926"/>
    <w:rsid w:val="00270083"/>
    <w:rsid w:val="00270A42"/>
    <w:rsid w:val="002724AD"/>
    <w:rsid w:val="002727F1"/>
    <w:rsid w:val="00274205"/>
    <w:rsid w:val="0027564E"/>
    <w:rsid w:val="00275DFC"/>
    <w:rsid w:val="00275EDF"/>
    <w:rsid w:val="00277A8C"/>
    <w:rsid w:val="0028474D"/>
    <w:rsid w:val="00285438"/>
    <w:rsid w:val="0028602A"/>
    <w:rsid w:val="00287DD6"/>
    <w:rsid w:val="0029138A"/>
    <w:rsid w:val="002A05BE"/>
    <w:rsid w:val="002A0688"/>
    <w:rsid w:val="002A0CA3"/>
    <w:rsid w:val="002A1774"/>
    <w:rsid w:val="002A349D"/>
    <w:rsid w:val="002A4DA9"/>
    <w:rsid w:val="002A6894"/>
    <w:rsid w:val="002B0974"/>
    <w:rsid w:val="002B12BB"/>
    <w:rsid w:val="002B17A3"/>
    <w:rsid w:val="002B329D"/>
    <w:rsid w:val="002B539F"/>
    <w:rsid w:val="002B6F4C"/>
    <w:rsid w:val="002B7879"/>
    <w:rsid w:val="002C0CEB"/>
    <w:rsid w:val="002C39DC"/>
    <w:rsid w:val="002C7A75"/>
    <w:rsid w:val="002D772F"/>
    <w:rsid w:val="002E2B7C"/>
    <w:rsid w:val="002E574C"/>
    <w:rsid w:val="002E61B5"/>
    <w:rsid w:val="002F0578"/>
    <w:rsid w:val="002F173B"/>
    <w:rsid w:val="002F1FB7"/>
    <w:rsid w:val="002F284E"/>
    <w:rsid w:val="002F4EF9"/>
    <w:rsid w:val="002F5017"/>
    <w:rsid w:val="002F51BA"/>
    <w:rsid w:val="002F5FEF"/>
    <w:rsid w:val="002F77EA"/>
    <w:rsid w:val="002F7F61"/>
    <w:rsid w:val="00300736"/>
    <w:rsid w:val="00301144"/>
    <w:rsid w:val="00301F16"/>
    <w:rsid w:val="00303B10"/>
    <w:rsid w:val="0030719E"/>
    <w:rsid w:val="003072C6"/>
    <w:rsid w:val="0030789B"/>
    <w:rsid w:val="003123E1"/>
    <w:rsid w:val="003148B7"/>
    <w:rsid w:val="003150C9"/>
    <w:rsid w:val="003158C3"/>
    <w:rsid w:val="00315CEA"/>
    <w:rsid w:val="00316811"/>
    <w:rsid w:val="003238F0"/>
    <w:rsid w:val="00324C77"/>
    <w:rsid w:val="003267FD"/>
    <w:rsid w:val="003274CD"/>
    <w:rsid w:val="00342406"/>
    <w:rsid w:val="0034243C"/>
    <w:rsid w:val="003443AD"/>
    <w:rsid w:val="00344A3D"/>
    <w:rsid w:val="00345E3D"/>
    <w:rsid w:val="00347753"/>
    <w:rsid w:val="00347893"/>
    <w:rsid w:val="00350CC2"/>
    <w:rsid w:val="00350F59"/>
    <w:rsid w:val="0035119D"/>
    <w:rsid w:val="00353D2A"/>
    <w:rsid w:val="00356068"/>
    <w:rsid w:val="003562B0"/>
    <w:rsid w:val="0035729B"/>
    <w:rsid w:val="00357A8C"/>
    <w:rsid w:val="003622D5"/>
    <w:rsid w:val="00365B01"/>
    <w:rsid w:val="00370346"/>
    <w:rsid w:val="0037209C"/>
    <w:rsid w:val="003726A7"/>
    <w:rsid w:val="00375B76"/>
    <w:rsid w:val="003762E0"/>
    <w:rsid w:val="0037640B"/>
    <w:rsid w:val="00380C67"/>
    <w:rsid w:val="003847D0"/>
    <w:rsid w:val="00385F35"/>
    <w:rsid w:val="00385F46"/>
    <w:rsid w:val="00390484"/>
    <w:rsid w:val="00391AC0"/>
    <w:rsid w:val="003927AB"/>
    <w:rsid w:val="003A015E"/>
    <w:rsid w:val="003A0E85"/>
    <w:rsid w:val="003A464A"/>
    <w:rsid w:val="003A71C5"/>
    <w:rsid w:val="003B333E"/>
    <w:rsid w:val="003B3A32"/>
    <w:rsid w:val="003B3A97"/>
    <w:rsid w:val="003B4B61"/>
    <w:rsid w:val="003B4F12"/>
    <w:rsid w:val="003B5640"/>
    <w:rsid w:val="003B60A6"/>
    <w:rsid w:val="003B7065"/>
    <w:rsid w:val="003C0E5E"/>
    <w:rsid w:val="003C4EE7"/>
    <w:rsid w:val="003C554E"/>
    <w:rsid w:val="003C6791"/>
    <w:rsid w:val="003C73F4"/>
    <w:rsid w:val="003D073F"/>
    <w:rsid w:val="003D0E43"/>
    <w:rsid w:val="003D4C96"/>
    <w:rsid w:val="003D76D1"/>
    <w:rsid w:val="003E03C9"/>
    <w:rsid w:val="003E1212"/>
    <w:rsid w:val="003E3BC0"/>
    <w:rsid w:val="003E702A"/>
    <w:rsid w:val="003F108B"/>
    <w:rsid w:val="003F5880"/>
    <w:rsid w:val="003F5B33"/>
    <w:rsid w:val="00402805"/>
    <w:rsid w:val="00402A55"/>
    <w:rsid w:val="00403A59"/>
    <w:rsid w:val="00404933"/>
    <w:rsid w:val="00407593"/>
    <w:rsid w:val="00410454"/>
    <w:rsid w:val="00412754"/>
    <w:rsid w:val="00413721"/>
    <w:rsid w:val="0041388B"/>
    <w:rsid w:val="004156F1"/>
    <w:rsid w:val="00415A23"/>
    <w:rsid w:val="00417368"/>
    <w:rsid w:val="00420935"/>
    <w:rsid w:val="00423621"/>
    <w:rsid w:val="00423F31"/>
    <w:rsid w:val="00423F99"/>
    <w:rsid w:val="0042526B"/>
    <w:rsid w:val="00425CAC"/>
    <w:rsid w:val="00431899"/>
    <w:rsid w:val="00434B95"/>
    <w:rsid w:val="004367D9"/>
    <w:rsid w:val="00437C1D"/>
    <w:rsid w:val="00437E87"/>
    <w:rsid w:val="004408BA"/>
    <w:rsid w:val="0044090A"/>
    <w:rsid w:val="00442CC0"/>
    <w:rsid w:val="00443CD7"/>
    <w:rsid w:val="00444633"/>
    <w:rsid w:val="004459D9"/>
    <w:rsid w:val="004461F2"/>
    <w:rsid w:val="00446410"/>
    <w:rsid w:val="00447D9A"/>
    <w:rsid w:val="00447EC0"/>
    <w:rsid w:val="00447F97"/>
    <w:rsid w:val="00450626"/>
    <w:rsid w:val="004506C1"/>
    <w:rsid w:val="00451821"/>
    <w:rsid w:val="00454C37"/>
    <w:rsid w:val="004571A3"/>
    <w:rsid w:val="00464063"/>
    <w:rsid w:val="004643A1"/>
    <w:rsid w:val="00465B12"/>
    <w:rsid w:val="004708B0"/>
    <w:rsid w:val="00470915"/>
    <w:rsid w:val="004716C7"/>
    <w:rsid w:val="0047375E"/>
    <w:rsid w:val="0047450D"/>
    <w:rsid w:val="0047466B"/>
    <w:rsid w:val="004826F2"/>
    <w:rsid w:val="004827FF"/>
    <w:rsid w:val="00484B11"/>
    <w:rsid w:val="00485FE2"/>
    <w:rsid w:val="00486804"/>
    <w:rsid w:val="004869D1"/>
    <w:rsid w:val="004907E5"/>
    <w:rsid w:val="00490D5E"/>
    <w:rsid w:val="00490DBC"/>
    <w:rsid w:val="00493933"/>
    <w:rsid w:val="00493FAA"/>
    <w:rsid w:val="00495F6D"/>
    <w:rsid w:val="00496A70"/>
    <w:rsid w:val="004A62C7"/>
    <w:rsid w:val="004A733C"/>
    <w:rsid w:val="004B04B1"/>
    <w:rsid w:val="004B1846"/>
    <w:rsid w:val="004B3197"/>
    <w:rsid w:val="004B34F0"/>
    <w:rsid w:val="004B3775"/>
    <w:rsid w:val="004B4380"/>
    <w:rsid w:val="004B441D"/>
    <w:rsid w:val="004B5978"/>
    <w:rsid w:val="004C1819"/>
    <w:rsid w:val="004C2A06"/>
    <w:rsid w:val="004C2B88"/>
    <w:rsid w:val="004C38D0"/>
    <w:rsid w:val="004C426E"/>
    <w:rsid w:val="004D2FD4"/>
    <w:rsid w:val="004D3D31"/>
    <w:rsid w:val="004D5130"/>
    <w:rsid w:val="004D57C4"/>
    <w:rsid w:val="004D5859"/>
    <w:rsid w:val="004E058F"/>
    <w:rsid w:val="004E217F"/>
    <w:rsid w:val="004E305E"/>
    <w:rsid w:val="004E3B87"/>
    <w:rsid w:val="004E4F61"/>
    <w:rsid w:val="004E586C"/>
    <w:rsid w:val="004E785D"/>
    <w:rsid w:val="004F166C"/>
    <w:rsid w:val="004F1DCA"/>
    <w:rsid w:val="004F29BC"/>
    <w:rsid w:val="004F5371"/>
    <w:rsid w:val="004F6BB8"/>
    <w:rsid w:val="004F7D9F"/>
    <w:rsid w:val="005070CB"/>
    <w:rsid w:val="0051041E"/>
    <w:rsid w:val="00510921"/>
    <w:rsid w:val="00510AD3"/>
    <w:rsid w:val="00513348"/>
    <w:rsid w:val="005172DB"/>
    <w:rsid w:val="005173BF"/>
    <w:rsid w:val="00517FFC"/>
    <w:rsid w:val="005202B2"/>
    <w:rsid w:val="0052336F"/>
    <w:rsid w:val="0052515D"/>
    <w:rsid w:val="00527998"/>
    <w:rsid w:val="00531490"/>
    <w:rsid w:val="0053352C"/>
    <w:rsid w:val="00533B5D"/>
    <w:rsid w:val="00533C0C"/>
    <w:rsid w:val="005342A4"/>
    <w:rsid w:val="00535344"/>
    <w:rsid w:val="00544144"/>
    <w:rsid w:val="005472D7"/>
    <w:rsid w:val="00547C06"/>
    <w:rsid w:val="005524B7"/>
    <w:rsid w:val="0055338E"/>
    <w:rsid w:val="00554E6C"/>
    <w:rsid w:val="005558DF"/>
    <w:rsid w:val="0055631F"/>
    <w:rsid w:val="0055676A"/>
    <w:rsid w:val="0055684A"/>
    <w:rsid w:val="005570E8"/>
    <w:rsid w:val="00561855"/>
    <w:rsid w:val="005628D3"/>
    <w:rsid w:val="005637C9"/>
    <w:rsid w:val="00564627"/>
    <w:rsid w:val="00564894"/>
    <w:rsid w:val="0056613F"/>
    <w:rsid w:val="005740BD"/>
    <w:rsid w:val="005743E4"/>
    <w:rsid w:val="00576566"/>
    <w:rsid w:val="00580E01"/>
    <w:rsid w:val="00581533"/>
    <w:rsid w:val="00581851"/>
    <w:rsid w:val="00581D4B"/>
    <w:rsid w:val="0058208F"/>
    <w:rsid w:val="005832E2"/>
    <w:rsid w:val="00583529"/>
    <w:rsid w:val="00584771"/>
    <w:rsid w:val="00585EB6"/>
    <w:rsid w:val="00586996"/>
    <w:rsid w:val="005970EA"/>
    <w:rsid w:val="005A13A2"/>
    <w:rsid w:val="005A182D"/>
    <w:rsid w:val="005A3941"/>
    <w:rsid w:val="005A3DD4"/>
    <w:rsid w:val="005A7E9D"/>
    <w:rsid w:val="005B2929"/>
    <w:rsid w:val="005B3E26"/>
    <w:rsid w:val="005B5B79"/>
    <w:rsid w:val="005B745B"/>
    <w:rsid w:val="005C1617"/>
    <w:rsid w:val="005C37F0"/>
    <w:rsid w:val="005D2D36"/>
    <w:rsid w:val="005D3E0C"/>
    <w:rsid w:val="005D654F"/>
    <w:rsid w:val="005D6781"/>
    <w:rsid w:val="005E01D7"/>
    <w:rsid w:val="005E111A"/>
    <w:rsid w:val="005E17C7"/>
    <w:rsid w:val="005E494C"/>
    <w:rsid w:val="005E58A6"/>
    <w:rsid w:val="005E664C"/>
    <w:rsid w:val="005E7008"/>
    <w:rsid w:val="005F1D39"/>
    <w:rsid w:val="005F56E0"/>
    <w:rsid w:val="005F75FF"/>
    <w:rsid w:val="00601E46"/>
    <w:rsid w:val="00602110"/>
    <w:rsid w:val="00602F60"/>
    <w:rsid w:val="00604C66"/>
    <w:rsid w:val="0060596B"/>
    <w:rsid w:val="0061078E"/>
    <w:rsid w:val="00611561"/>
    <w:rsid w:val="00613CEE"/>
    <w:rsid w:val="00614094"/>
    <w:rsid w:val="00615318"/>
    <w:rsid w:val="006164CC"/>
    <w:rsid w:val="00617C50"/>
    <w:rsid w:val="00621D4F"/>
    <w:rsid w:val="00623BA1"/>
    <w:rsid w:val="006268FE"/>
    <w:rsid w:val="00626B75"/>
    <w:rsid w:val="0063036A"/>
    <w:rsid w:val="00633251"/>
    <w:rsid w:val="006346BC"/>
    <w:rsid w:val="0064153F"/>
    <w:rsid w:val="0064252C"/>
    <w:rsid w:val="00645155"/>
    <w:rsid w:val="006504AC"/>
    <w:rsid w:val="00650C5C"/>
    <w:rsid w:val="006513E2"/>
    <w:rsid w:val="00655917"/>
    <w:rsid w:val="00655C40"/>
    <w:rsid w:val="00657D64"/>
    <w:rsid w:val="00664FF9"/>
    <w:rsid w:val="00666291"/>
    <w:rsid w:val="0066652A"/>
    <w:rsid w:val="00667DDF"/>
    <w:rsid w:val="0067187A"/>
    <w:rsid w:val="0067282B"/>
    <w:rsid w:val="00673BD0"/>
    <w:rsid w:val="00681AD8"/>
    <w:rsid w:val="00681C48"/>
    <w:rsid w:val="00681C96"/>
    <w:rsid w:val="00681CEF"/>
    <w:rsid w:val="00681ED5"/>
    <w:rsid w:val="00682167"/>
    <w:rsid w:val="00682B39"/>
    <w:rsid w:val="00682D12"/>
    <w:rsid w:val="00683201"/>
    <w:rsid w:val="006876A3"/>
    <w:rsid w:val="0069120D"/>
    <w:rsid w:val="00696E84"/>
    <w:rsid w:val="006A160B"/>
    <w:rsid w:val="006A1B42"/>
    <w:rsid w:val="006A3FD1"/>
    <w:rsid w:val="006A414D"/>
    <w:rsid w:val="006A57D8"/>
    <w:rsid w:val="006B1459"/>
    <w:rsid w:val="006B4FFD"/>
    <w:rsid w:val="006C08AD"/>
    <w:rsid w:val="006C42AF"/>
    <w:rsid w:val="006C4A5C"/>
    <w:rsid w:val="006C4A63"/>
    <w:rsid w:val="006C4DD1"/>
    <w:rsid w:val="006C5BB2"/>
    <w:rsid w:val="006C70C7"/>
    <w:rsid w:val="006D1956"/>
    <w:rsid w:val="006D32DE"/>
    <w:rsid w:val="006E2879"/>
    <w:rsid w:val="006E2A7D"/>
    <w:rsid w:val="006E748E"/>
    <w:rsid w:val="006F0785"/>
    <w:rsid w:val="006F0FC8"/>
    <w:rsid w:val="006F3D84"/>
    <w:rsid w:val="006F45FF"/>
    <w:rsid w:val="006F58E3"/>
    <w:rsid w:val="00702CE3"/>
    <w:rsid w:val="00703427"/>
    <w:rsid w:val="00704F42"/>
    <w:rsid w:val="00710D2B"/>
    <w:rsid w:val="007111B2"/>
    <w:rsid w:val="00711BF6"/>
    <w:rsid w:val="00711D8E"/>
    <w:rsid w:val="00712672"/>
    <w:rsid w:val="00714775"/>
    <w:rsid w:val="00715E07"/>
    <w:rsid w:val="007161CB"/>
    <w:rsid w:val="00722E03"/>
    <w:rsid w:val="0072435D"/>
    <w:rsid w:val="00724838"/>
    <w:rsid w:val="00724B0C"/>
    <w:rsid w:val="0073377A"/>
    <w:rsid w:val="00734E3F"/>
    <w:rsid w:val="00735554"/>
    <w:rsid w:val="00736985"/>
    <w:rsid w:val="00736E5E"/>
    <w:rsid w:val="00737A13"/>
    <w:rsid w:val="007415C2"/>
    <w:rsid w:val="007456DC"/>
    <w:rsid w:val="0075109B"/>
    <w:rsid w:val="00752EA9"/>
    <w:rsid w:val="00755521"/>
    <w:rsid w:val="00760070"/>
    <w:rsid w:val="00760251"/>
    <w:rsid w:val="007624F9"/>
    <w:rsid w:val="007639D9"/>
    <w:rsid w:val="00763FED"/>
    <w:rsid w:val="00767E5C"/>
    <w:rsid w:val="00770FA9"/>
    <w:rsid w:val="00771911"/>
    <w:rsid w:val="00772A0B"/>
    <w:rsid w:val="00773703"/>
    <w:rsid w:val="0077426E"/>
    <w:rsid w:val="00775F2D"/>
    <w:rsid w:val="00776841"/>
    <w:rsid w:val="007769FE"/>
    <w:rsid w:val="00781EAF"/>
    <w:rsid w:val="007821BD"/>
    <w:rsid w:val="00782B7D"/>
    <w:rsid w:val="00782F9C"/>
    <w:rsid w:val="00783570"/>
    <w:rsid w:val="007840C3"/>
    <w:rsid w:val="00790969"/>
    <w:rsid w:val="0079170F"/>
    <w:rsid w:val="00791892"/>
    <w:rsid w:val="00791FCC"/>
    <w:rsid w:val="00795616"/>
    <w:rsid w:val="007A074A"/>
    <w:rsid w:val="007A339C"/>
    <w:rsid w:val="007A34CB"/>
    <w:rsid w:val="007A6D6F"/>
    <w:rsid w:val="007B44E9"/>
    <w:rsid w:val="007B4E97"/>
    <w:rsid w:val="007B4F57"/>
    <w:rsid w:val="007B5B64"/>
    <w:rsid w:val="007B6200"/>
    <w:rsid w:val="007C1545"/>
    <w:rsid w:val="007C1BAC"/>
    <w:rsid w:val="007C2B5F"/>
    <w:rsid w:val="007C37B3"/>
    <w:rsid w:val="007C4E4D"/>
    <w:rsid w:val="007D05CF"/>
    <w:rsid w:val="007D10CF"/>
    <w:rsid w:val="007D1CAD"/>
    <w:rsid w:val="007D209A"/>
    <w:rsid w:val="007D234A"/>
    <w:rsid w:val="007D29A5"/>
    <w:rsid w:val="007D29D9"/>
    <w:rsid w:val="007D4B37"/>
    <w:rsid w:val="007D777F"/>
    <w:rsid w:val="007D7C94"/>
    <w:rsid w:val="007E1681"/>
    <w:rsid w:val="007E5230"/>
    <w:rsid w:val="007F0723"/>
    <w:rsid w:val="007F2D3E"/>
    <w:rsid w:val="007F3825"/>
    <w:rsid w:val="007F506E"/>
    <w:rsid w:val="00800457"/>
    <w:rsid w:val="00801B9F"/>
    <w:rsid w:val="00802BE5"/>
    <w:rsid w:val="0080649D"/>
    <w:rsid w:val="00806955"/>
    <w:rsid w:val="0081401A"/>
    <w:rsid w:val="00816E17"/>
    <w:rsid w:val="008216C4"/>
    <w:rsid w:val="0082357E"/>
    <w:rsid w:val="0082589D"/>
    <w:rsid w:val="00825D8D"/>
    <w:rsid w:val="00830C2E"/>
    <w:rsid w:val="00835A96"/>
    <w:rsid w:val="0084075B"/>
    <w:rsid w:val="00840D3E"/>
    <w:rsid w:val="008410A0"/>
    <w:rsid w:val="00842CD2"/>
    <w:rsid w:val="008430D9"/>
    <w:rsid w:val="00844888"/>
    <w:rsid w:val="0084675B"/>
    <w:rsid w:val="00851BD7"/>
    <w:rsid w:val="00852CB0"/>
    <w:rsid w:val="008552DA"/>
    <w:rsid w:val="00861BF7"/>
    <w:rsid w:val="0086240A"/>
    <w:rsid w:val="0086326C"/>
    <w:rsid w:val="00863F5F"/>
    <w:rsid w:val="0086402E"/>
    <w:rsid w:val="008652F5"/>
    <w:rsid w:val="0086554A"/>
    <w:rsid w:val="00873059"/>
    <w:rsid w:val="008751F9"/>
    <w:rsid w:val="008801F6"/>
    <w:rsid w:val="00880B3F"/>
    <w:rsid w:val="00882DEA"/>
    <w:rsid w:val="00884D54"/>
    <w:rsid w:val="008911BD"/>
    <w:rsid w:val="008915F8"/>
    <w:rsid w:val="00892B4A"/>
    <w:rsid w:val="00892E63"/>
    <w:rsid w:val="008930BA"/>
    <w:rsid w:val="008946D5"/>
    <w:rsid w:val="0089545C"/>
    <w:rsid w:val="00895FF1"/>
    <w:rsid w:val="00897DB4"/>
    <w:rsid w:val="008A0FA6"/>
    <w:rsid w:val="008A5D79"/>
    <w:rsid w:val="008A6C5B"/>
    <w:rsid w:val="008B0205"/>
    <w:rsid w:val="008B542E"/>
    <w:rsid w:val="008B62C7"/>
    <w:rsid w:val="008B73AD"/>
    <w:rsid w:val="008C00E7"/>
    <w:rsid w:val="008C4B72"/>
    <w:rsid w:val="008C5236"/>
    <w:rsid w:val="008C612B"/>
    <w:rsid w:val="008D4A99"/>
    <w:rsid w:val="008D5812"/>
    <w:rsid w:val="008E0D17"/>
    <w:rsid w:val="008E3A0E"/>
    <w:rsid w:val="008E5560"/>
    <w:rsid w:val="008E5B4D"/>
    <w:rsid w:val="008F034D"/>
    <w:rsid w:val="008F1D30"/>
    <w:rsid w:val="008F204E"/>
    <w:rsid w:val="008F2688"/>
    <w:rsid w:val="008F376A"/>
    <w:rsid w:val="008F5AED"/>
    <w:rsid w:val="008F5B3A"/>
    <w:rsid w:val="008F60DD"/>
    <w:rsid w:val="00901F65"/>
    <w:rsid w:val="0090309A"/>
    <w:rsid w:val="00903F99"/>
    <w:rsid w:val="009041EB"/>
    <w:rsid w:val="009049FA"/>
    <w:rsid w:val="00904C2B"/>
    <w:rsid w:val="009069C4"/>
    <w:rsid w:val="00907038"/>
    <w:rsid w:val="00910392"/>
    <w:rsid w:val="009115B7"/>
    <w:rsid w:val="00914002"/>
    <w:rsid w:val="00914BF7"/>
    <w:rsid w:val="009150FF"/>
    <w:rsid w:val="0091552D"/>
    <w:rsid w:val="009170CF"/>
    <w:rsid w:val="0092670C"/>
    <w:rsid w:val="00927179"/>
    <w:rsid w:val="00927691"/>
    <w:rsid w:val="00931EEA"/>
    <w:rsid w:val="00933A15"/>
    <w:rsid w:val="0093540B"/>
    <w:rsid w:val="00936966"/>
    <w:rsid w:val="00936B84"/>
    <w:rsid w:val="00940867"/>
    <w:rsid w:val="009434F1"/>
    <w:rsid w:val="00946C6C"/>
    <w:rsid w:val="009472B0"/>
    <w:rsid w:val="009534B3"/>
    <w:rsid w:val="0095355F"/>
    <w:rsid w:val="009537C6"/>
    <w:rsid w:val="009601D7"/>
    <w:rsid w:val="00960D12"/>
    <w:rsid w:val="00961B6C"/>
    <w:rsid w:val="00964A4D"/>
    <w:rsid w:val="00965ED3"/>
    <w:rsid w:val="00966B8E"/>
    <w:rsid w:val="00966DE7"/>
    <w:rsid w:val="0097128D"/>
    <w:rsid w:val="0097133F"/>
    <w:rsid w:val="0097137F"/>
    <w:rsid w:val="00973A84"/>
    <w:rsid w:val="0097646F"/>
    <w:rsid w:val="009829CB"/>
    <w:rsid w:val="0098329E"/>
    <w:rsid w:val="009835C0"/>
    <w:rsid w:val="009855CA"/>
    <w:rsid w:val="00986603"/>
    <w:rsid w:val="00986E2D"/>
    <w:rsid w:val="009925AD"/>
    <w:rsid w:val="00996432"/>
    <w:rsid w:val="009A0FA5"/>
    <w:rsid w:val="009A2DA7"/>
    <w:rsid w:val="009A3E61"/>
    <w:rsid w:val="009A4288"/>
    <w:rsid w:val="009A4CD4"/>
    <w:rsid w:val="009A730C"/>
    <w:rsid w:val="009B4240"/>
    <w:rsid w:val="009B4D3B"/>
    <w:rsid w:val="009B6573"/>
    <w:rsid w:val="009B7B31"/>
    <w:rsid w:val="009C07F3"/>
    <w:rsid w:val="009C0D26"/>
    <w:rsid w:val="009C0FEE"/>
    <w:rsid w:val="009C1391"/>
    <w:rsid w:val="009C2163"/>
    <w:rsid w:val="009C47C2"/>
    <w:rsid w:val="009D0B40"/>
    <w:rsid w:val="009D2CDD"/>
    <w:rsid w:val="009D2E63"/>
    <w:rsid w:val="009D6AF9"/>
    <w:rsid w:val="009D7407"/>
    <w:rsid w:val="009E0866"/>
    <w:rsid w:val="009E0E1D"/>
    <w:rsid w:val="009E0ED0"/>
    <w:rsid w:val="009E150B"/>
    <w:rsid w:val="009E1CAA"/>
    <w:rsid w:val="009E4699"/>
    <w:rsid w:val="009E5DC2"/>
    <w:rsid w:val="009E5FCF"/>
    <w:rsid w:val="009F020F"/>
    <w:rsid w:val="009F2AFE"/>
    <w:rsid w:val="00A0395B"/>
    <w:rsid w:val="00A03987"/>
    <w:rsid w:val="00A03ABD"/>
    <w:rsid w:val="00A03FF3"/>
    <w:rsid w:val="00A07000"/>
    <w:rsid w:val="00A07E86"/>
    <w:rsid w:val="00A07F59"/>
    <w:rsid w:val="00A13043"/>
    <w:rsid w:val="00A14D7E"/>
    <w:rsid w:val="00A20DAC"/>
    <w:rsid w:val="00A20E8E"/>
    <w:rsid w:val="00A21201"/>
    <w:rsid w:val="00A215D6"/>
    <w:rsid w:val="00A2267F"/>
    <w:rsid w:val="00A228FF"/>
    <w:rsid w:val="00A24A62"/>
    <w:rsid w:val="00A26370"/>
    <w:rsid w:val="00A27FEC"/>
    <w:rsid w:val="00A3139A"/>
    <w:rsid w:val="00A31574"/>
    <w:rsid w:val="00A31C9F"/>
    <w:rsid w:val="00A344D4"/>
    <w:rsid w:val="00A35A71"/>
    <w:rsid w:val="00A5044F"/>
    <w:rsid w:val="00A51F14"/>
    <w:rsid w:val="00A528C4"/>
    <w:rsid w:val="00A542AD"/>
    <w:rsid w:val="00A575E7"/>
    <w:rsid w:val="00A623D6"/>
    <w:rsid w:val="00A662DA"/>
    <w:rsid w:val="00A6641F"/>
    <w:rsid w:val="00A70161"/>
    <w:rsid w:val="00A741AD"/>
    <w:rsid w:val="00A754D1"/>
    <w:rsid w:val="00A76EF4"/>
    <w:rsid w:val="00A8075D"/>
    <w:rsid w:val="00A81FD8"/>
    <w:rsid w:val="00A82276"/>
    <w:rsid w:val="00A834BF"/>
    <w:rsid w:val="00A856BA"/>
    <w:rsid w:val="00A85900"/>
    <w:rsid w:val="00A85B59"/>
    <w:rsid w:val="00A925CF"/>
    <w:rsid w:val="00A9494A"/>
    <w:rsid w:val="00A9554A"/>
    <w:rsid w:val="00A95CE3"/>
    <w:rsid w:val="00A95EBA"/>
    <w:rsid w:val="00A95FBE"/>
    <w:rsid w:val="00A97188"/>
    <w:rsid w:val="00A97955"/>
    <w:rsid w:val="00A979C5"/>
    <w:rsid w:val="00A97A01"/>
    <w:rsid w:val="00AA1423"/>
    <w:rsid w:val="00AA1AEA"/>
    <w:rsid w:val="00AA1DD6"/>
    <w:rsid w:val="00AA27E1"/>
    <w:rsid w:val="00AA2AD8"/>
    <w:rsid w:val="00AA74CC"/>
    <w:rsid w:val="00AB01D2"/>
    <w:rsid w:val="00AB19CF"/>
    <w:rsid w:val="00AC164A"/>
    <w:rsid w:val="00AC238F"/>
    <w:rsid w:val="00AC355E"/>
    <w:rsid w:val="00AC4E46"/>
    <w:rsid w:val="00AD39AA"/>
    <w:rsid w:val="00AD4B7D"/>
    <w:rsid w:val="00AD4F10"/>
    <w:rsid w:val="00AD78F9"/>
    <w:rsid w:val="00AE0656"/>
    <w:rsid w:val="00AE2025"/>
    <w:rsid w:val="00AE34D1"/>
    <w:rsid w:val="00AE5DEB"/>
    <w:rsid w:val="00AF015A"/>
    <w:rsid w:val="00AF10BA"/>
    <w:rsid w:val="00AF2050"/>
    <w:rsid w:val="00AF785A"/>
    <w:rsid w:val="00B00CF2"/>
    <w:rsid w:val="00B00F5A"/>
    <w:rsid w:val="00B012D5"/>
    <w:rsid w:val="00B061BF"/>
    <w:rsid w:val="00B1245C"/>
    <w:rsid w:val="00B13A20"/>
    <w:rsid w:val="00B13E35"/>
    <w:rsid w:val="00B21307"/>
    <w:rsid w:val="00B26360"/>
    <w:rsid w:val="00B27B49"/>
    <w:rsid w:val="00B27E02"/>
    <w:rsid w:val="00B313B9"/>
    <w:rsid w:val="00B31A5A"/>
    <w:rsid w:val="00B3421C"/>
    <w:rsid w:val="00B34559"/>
    <w:rsid w:val="00B34B0A"/>
    <w:rsid w:val="00B361F4"/>
    <w:rsid w:val="00B36910"/>
    <w:rsid w:val="00B37523"/>
    <w:rsid w:val="00B45CBA"/>
    <w:rsid w:val="00B4773F"/>
    <w:rsid w:val="00B47DFA"/>
    <w:rsid w:val="00B53014"/>
    <w:rsid w:val="00B60352"/>
    <w:rsid w:val="00B6244B"/>
    <w:rsid w:val="00B6317F"/>
    <w:rsid w:val="00B63ADE"/>
    <w:rsid w:val="00B64716"/>
    <w:rsid w:val="00B64AAA"/>
    <w:rsid w:val="00B65BD5"/>
    <w:rsid w:val="00B67137"/>
    <w:rsid w:val="00B67CC6"/>
    <w:rsid w:val="00B67F4B"/>
    <w:rsid w:val="00B820BC"/>
    <w:rsid w:val="00B82BEB"/>
    <w:rsid w:val="00B83148"/>
    <w:rsid w:val="00B85208"/>
    <w:rsid w:val="00B9166F"/>
    <w:rsid w:val="00B94355"/>
    <w:rsid w:val="00B95530"/>
    <w:rsid w:val="00B97B4E"/>
    <w:rsid w:val="00BA43EA"/>
    <w:rsid w:val="00BB221A"/>
    <w:rsid w:val="00BB26C5"/>
    <w:rsid w:val="00BB2D63"/>
    <w:rsid w:val="00BB47B5"/>
    <w:rsid w:val="00BB4995"/>
    <w:rsid w:val="00BB6627"/>
    <w:rsid w:val="00BC12A6"/>
    <w:rsid w:val="00BC1D66"/>
    <w:rsid w:val="00BC1F60"/>
    <w:rsid w:val="00BC39B2"/>
    <w:rsid w:val="00BC66BA"/>
    <w:rsid w:val="00BD1ABB"/>
    <w:rsid w:val="00BD499A"/>
    <w:rsid w:val="00BD49A9"/>
    <w:rsid w:val="00BD6E69"/>
    <w:rsid w:val="00BE0D15"/>
    <w:rsid w:val="00BE5D78"/>
    <w:rsid w:val="00BE6A2B"/>
    <w:rsid w:val="00BE725F"/>
    <w:rsid w:val="00BF1CFB"/>
    <w:rsid w:val="00BF2475"/>
    <w:rsid w:val="00BF4B94"/>
    <w:rsid w:val="00BF4DE6"/>
    <w:rsid w:val="00BF77C3"/>
    <w:rsid w:val="00BF7B49"/>
    <w:rsid w:val="00C00B1C"/>
    <w:rsid w:val="00C011E6"/>
    <w:rsid w:val="00C046FE"/>
    <w:rsid w:val="00C04801"/>
    <w:rsid w:val="00C1186D"/>
    <w:rsid w:val="00C12335"/>
    <w:rsid w:val="00C13EA9"/>
    <w:rsid w:val="00C17ADF"/>
    <w:rsid w:val="00C23BBA"/>
    <w:rsid w:val="00C23EC0"/>
    <w:rsid w:val="00C246A8"/>
    <w:rsid w:val="00C25090"/>
    <w:rsid w:val="00C25273"/>
    <w:rsid w:val="00C27965"/>
    <w:rsid w:val="00C3104D"/>
    <w:rsid w:val="00C319C0"/>
    <w:rsid w:val="00C32579"/>
    <w:rsid w:val="00C32879"/>
    <w:rsid w:val="00C32D23"/>
    <w:rsid w:val="00C359A0"/>
    <w:rsid w:val="00C40D82"/>
    <w:rsid w:val="00C42CDE"/>
    <w:rsid w:val="00C44B77"/>
    <w:rsid w:val="00C44D13"/>
    <w:rsid w:val="00C46E5B"/>
    <w:rsid w:val="00C51B37"/>
    <w:rsid w:val="00C51EA0"/>
    <w:rsid w:val="00C53BBC"/>
    <w:rsid w:val="00C53D94"/>
    <w:rsid w:val="00C5476B"/>
    <w:rsid w:val="00C54C29"/>
    <w:rsid w:val="00C5655D"/>
    <w:rsid w:val="00C6064F"/>
    <w:rsid w:val="00C64B99"/>
    <w:rsid w:val="00C64F9B"/>
    <w:rsid w:val="00C65E46"/>
    <w:rsid w:val="00C66EF1"/>
    <w:rsid w:val="00C72F36"/>
    <w:rsid w:val="00C7489B"/>
    <w:rsid w:val="00C76EA5"/>
    <w:rsid w:val="00C81EC8"/>
    <w:rsid w:val="00C82934"/>
    <w:rsid w:val="00C84DBA"/>
    <w:rsid w:val="00C87BE2"/>
    <w:rsid w:val="00C91180"/>
    <w:rsid w:val="00C92B01"/>
    <w:rsid w:val="00C947DC"/>
    <w:rsid w:val="00C95BA8"/>
    <w:rsid w:val="00C95E8E"/>
    <w:rsid w:val="00C978B0"/>
    <w:rsid w:val="00CA09B9"/>
    <w:rsid w:val="00CA37B1"/>
    <w:rsid w:val="00CA457D"/>
    <w:rsid w:val="00CA67A9"/>
    <w:rsid w:val="00CA6981"/>
    <w:rsid w:val="00CA7A51"/>
    <w:rsid w:val="00CA7EC0"/>
    <w:rsid w:val="00CB10F1"/>
    <w:rsid w:val="00CB1959"/>
    <w:rsid w:val="00CB2157"/>
    <w:rsid w:val="00CB4340"/>
    <w:rsid w:val="00CB55CF"/>
    <w:rsid w:val="00CB669E"/>
    <w:rsid w:val="00CB78AC"/>
    <w:rsid w:val="00CC0BB2"/>
    <w:rsid w:val="00CC2E8C"/>
    <w:rsid w:val="00CC4102"/>
    <w:rsid w:val="00CC75B3"/>
    <w:rsid w:val="00CC7C21"/>
    <w:rsid w:val="00CD137C"/>
    <w:rsid w:val="00CD429B"/>
    <w:rsid w:val="00CD79C8"/>
    <w:rsid w:val="00CE2D83"/>
    <w:rsid w:val="00CE3437"/>
    <w:rsid w:val="00CE6F27"/>
    <w:rsid w:val="00CF1C09"/>
    <w:rsid w:val="00CF27A5"/>
    <w:rsid w:val="00CF295A"/>
    <w:rsid w:val="00CF42FE"/>
    <w:rsid w:val="00CF75C9"/>
    <w:rsid w:val="00CF7E7D"/>
    <w:rsid w:val="00D01D40"/>
    <w:rsid w:val="00D021BB"/>
    <w:rsid w:val="00D0296C"/>
    <w:rsid w:val="00D03D6B"/>
    <w:rsid w:val="00D05A15"/>
    <w:rsid w:val="00D05B69"/>
    <w:rsid w:val="00D06250"/>
    <w:rsid w:val="00D0641E"/>
    <w:rsid w:val="00D0776D"/>
    <w:rsid w:val="00D10F2B"/>
    <w:rsid w:val="00D1210C"/>
    <w:rsid w:val="00D12B04"/>
    <w:rsid w:val="00D14751"/>
    <w:rsid w:val="00D167AE"/>
    <w:rsid w:val="00D17597"/>
    <w:rsid w:val="00D20DAC"/>
    <w:rsid w:val="00D214CB"/>
    <w:rsid w:val="00D21F12"/>
    <w:rsid w:val="00D22869"/>
    <w:rsid w:val="00D22BE5"/>
    <w:rsid w:val="00D26B17"/>
    <w:rsid w:val="00D26F3B"/>
    <w:rsid w:val="00D314FA"/>
    <w:rsid w:val="00D33099"/>
    <w:rsid w:val="00D34328"/>
    <w:rsid w:val="00D34E41"/>
    <w:rsid w:val="00D35635"/>
    <w:rsid w:val="00D37D33"/>
    <w:rsid w:val="00D402B3"/>
    <w:rsid w:val="00D40CE4"/>
    <w:rsid w:val="00D42491"/>
    <w:rsid w:val="00D4275F"/>
    <w:rsid w:val="00D43E89"/>
    <w:rsid w:val="00D46C7E"/>
    <w:rsid w:val="00D46D82"/>
    <w:rsid w:val="00D502C9"/>
    <w:rsid w:val="00D51AB4"/>
    <w:rsid w:val="00D53917"/>
    <w:rsid w:val="00D540E3"/>
    <w:rsid w:val="00D54585"/>
    <w:rsid w:val="00D57C12"/>
    <w:rsid w:val="00D60012"/>
    <w:rsid w:val="00D6100F"/>
    <w:rsid w:val="00D620A1"/>
    <w:rsid w:val="00D64DBD"/>
    <w:rsid w:val="00D6609A"/>
    <w:rsid w:val="00D701EB"/>
    <w:rsid w:val="00D73C35"/>
    <w:rsid w:val="00D7546E"/>
    <w:rsid w:val="00D755D5"/>
    <w:rsid w:val="00D8507D"/>
    <w:rsid w:val="00D86955"/>
    <w:rsid w:val="00D94CAA"/>
    <w:rsid w:val="00D966D3"/>
    <w:rsid w:val="00D96D61"/>
    <w:rsid w:val="00DA0E54"/>
    <w:rsid w:val="00DA1EE6"/>
    <w:rsid w:val="00DA4F94"/>
    <w:rsid w:val="00DA5471"/>
    <w:rsid w:val="00DA629D"/>
    <w:rsid w:val="00DA6486"/>
    <w:rsid w:val="00DA6DB2"/>
    <w:rsid w:val="00DA7A24"/>
    <w:rsid w:val="00DB1068"/>
    <w:rsid w:val="00DB1509"/>
    <w:rsid w:val="00DB1572"/>
    <w:rsid w:val="00DB246B"/>
    <w:rsid w:val="00DB34EB"/>
    <w:rsid w:val="00DB372E"/>
    <w:rsid w:val="00DB4001"/>
    <w:rsid w:val="00DB51AB"/>
    <w:rsid w:val="00DB599D"/>
    <w:rsid w:val="00DB6053"/>
    <w:rsid w:val="00DB6123"/>
    <w:rsid w:val="00DB61EA"/>
    <w:rsid w:val="00DB6D69"/>
    <w:rsid w:val="00DC03B6"/>
    <w:rsid w:val="00DC0CC4"/>
    <w:rsid w:val="00DC1582"/>
    <w:rsid w:val="00DC430B"/>
    <w:rsid w:val="00DC6FB0"/>
    <w:rsid w:val="00DD0AAB"/>
    <w:rsid w:val="00DD1A8E"/>
    <w:rsid w:val="00DD255D"/>
    <w:rsid w:val="00DD367C"/>
    <w:rsid w:val="00DD41AE"/>
    <w:rsid w:val="00DD5FB8"/>
    <w:rsid w:val="00DD7F53"/>
    <w:rsid w:val="00DE0BB7"/>
    <w:rsid w:val="00DE1611"/>
    <w:rsid w:val="00DE1F42"/>
    <w:rsid w:val="00DE69BA"/>
    <w:rsid w:val="00DE70F4"/>
    <w:rsid w:val="00DE7164"/>
    <w:rsid w:val="00DF25F7"/>
    <w:rsid w:val="00DF265D"/>
    <w:rsid w:val="00DF2EB2"/>
    <w:rsid w:val="00DF39DB"/>
    <w:rsid w:val="00DF3E7C"/>
    <w:rsid w:val="00DF5338"/>
    <w:rsid w:val="00DF64EC"/>
    <w:rsid w:val="00DF6F3F"/>
    <w:rsid w:val="00E00636"/>
    <w:rsid w:val="00E070B5"/>
    <w:rsid w:val="00E12DE0"/>
    <w:rsid w:val="00E15B4D"/>
    <w:rsid w:val="00E16257"/>
    <w:rsid w:val="00E16694"/>
    <w:rsid w:val="00E21496"/>
    <w:rsid w:val="00E22BB9"/>
    <w:rsid w:val="00E23545"/>
    <w:rsid w:val="00E24669"/>
    <w:rsid w:val="00E250E9"/>
    <w:rsid w:val="00E251B4"/>
    <w:rsid w:val="00E253E6"/>
    <w:rsid w:val="00E26AB1"/>
    <w:rsid w:val="00E3484D"/>
    <w:rsid w:val="00E3496C"/>
    <w:rsid w:val="00E357B7"/>
    <w:rsid w:val="00E3733F"/>
    <w:rsid w:val="00E44D53"/>
    <w:rsid w:val="00E452BD"/>
    <w:rsid w:val="00E46091"/>
    <w:rsid w:val="00E470D0"/>
    <w:rsid w:val="00E47683"/>
    <w:rsid w:val="00E523A1"/>
    <w:rsid w:val="00E53800"/>
    <w:rsid w:val="00E54ED8"/>
    <w:rsid w:val="00E57336"/>
    <w:rsid w:val="00E6081F"/>
    <w:rsid w:val="00E649C1"/>
    <w:rsid w:val="00E64CE9"/>
    <w:rsid w:val="00E669F3"/>
    <w:rsid w:val="00E670ED"/>
    <w:rsid w:val="00E7629E"/>
    <w:rsid w:val="00E76946"/>
    <w:rsid w:val="00E76F8B"/>
    <w:rsid w:val="00E770D2"/>
    <w:rsid w:val="00E77C0A"/>
    <w:rsid w:val="00E8102D"/>
    <w:rsid w:val="00E8193F"/>
    <w:rsid w:val="00E81C82"/>
    <w:rsid w:val="00E830FC"/>
    <w:rsid w:val="00E8317A"/>
    <w:rsid w:val="00E84FF0"/>
    <w:rsid w:val="00E8632F"/>
    <w:rsid w:val="00E87F63"/>
    <w:rsid w:val="00E91C31"/>
    <w:rsid w:val="00E9644A"/>
    <w:rsid w:val="00EA04B2"/>
    <w:rsid w:val="00EA20F3"/>
    <w:rsid w:val="00EA50D6"/>
    <w:rsid w:val="00EA5771"/>
    <w:rsid w:val="00EB2D3B"/>
    <w:rsid w:val="00EB6415"/>
    <w:rsid w:val="00EB662D"/>
    <w:rsid w:val="00EC0E8A"/>
    <w:rsid w:val="00EC1456"/>
    <w:rsid w:val="00EC147C"/>
    <w:rsid w:val="00EC1964"/>
    <w:rsid w:val="00EC22F0"/>
    <w:rsid w:val="00EC2E2D"/>
    <w:rsid w:val="00EC3B6B"/>
    <w:rsid w:val="00EC4C52"/>
    <w:rsid w:val="00EC4CB3"/>
    <w:rsid w:val="00EC54EF"/>
    <w:rsid w:val="00EC6EA5"/>
    <w:rsid w:val="00ED0E99"/>
    <w:rsid w:val="00ED18EB"/>
    <w:rsid w:val="00ED34E2"/>
    <w:rsid w:val="00ED43D1"/>
    <w:rsid w:val="00ED5E86"/>
    <w:rsid w:val="00EE1B73"/>
    <w:rsid w:val="00EE27E9"/>
    <w:rsid w:val="00EE4EE1"/>
    <w:rsid w:val="00EE6839"/>
    <w:rsid w:val="00EE74AA"/>
    <w:rsid w:val="00EF03EB"/>
    <w:rsid w:val="00EF0FA0"/>
    <w:rsid w:val="00EF2A10"/>
    <w:rsid w:val="00EF2C0C"/>
    <w:rsid w:val="00EF2C2C"/>
    <w:rsid w:val="00EF4574"/>
    <w:rsid w:val="00EF6109"/>
    <w:rsid w:val="00F010A7"/>
    <w:rsid w:val="00F04B9B"/>
    <w:rsid w:val="00F06977"/>
    <w:rsid w:val="00F06C33"/>
    <w:rsid w:val="00F118FB"/>
    <w:rsid w:val="00F12437"/>
    <w:rsid w:val="00F1300B"/>
    <w:rsid w:val="00F1679F"/>
    <w:rsid w:val="00F21620"/>
    <w:rsid w:val="00F2411A"/>
    <w:rsid w:val="00F261F0"/>
    <w:rsid w:val="00F2684E"/>
    <w:rsid w:val="00F2724C"/>
    <w:rsid w:val="00F30200"/>
    <w:rsid w:val="00F34713"/>
    <w:rsid w:val="00F34834"/>
    <w:rsid w:val="00F36917"/>
    <w:rsid w:val="00F418E6"/>
    <w:rsid w:val="00F463FE"/>
    <w:rsid w:val="00F47C47"/>
    <w:rsid w:val="00F50CF4"/>
    <w:rsid w:val="00F519DB"/>
    <w:rsid w:val="00F53A33"/>
    <w:rsid w:val="00F56097"/>
    <w:rsid w:val="00F578B2"/>
    <w:rsid w:val="00F61FAC"/>
    <w:rsid w:val="00F6350D"/>
    <w:rsid w:val="00F6412C"/>
    <w:rsid w:val="00F6493D"/>
    <w:rsid w:val="00F654CF"/>
    <w:rsid w:val="00F659CE"/>
    <w:rsid w:val="00F65B9B"/>
    <w:rsid w:val="00F668D2"/>
    <w:rsid w:val="00F66AE6"/>
    <w:rsid w:val="00F67908"/>
    <w:rsid w:val="00F71949"/>
    <w:rsid w:val="00F729EF"/>
    <w:rsid w:val="00F72E58"/>
    <w:rsid w:val="00F741F7"/>
    <w:rsid w:val="00F760E6"/>
    <w:rsid w:val="00F77153"/>
    <w:rsid w:val="00F77CAE"/>
    <w:rsid w:val="00F81B64"/>
    <w:rsid w:val="00F81E5F"/>
    <w:rsid w:val="00F82184"/>
    <w:rsid w:val="00F837F2"/>
    <w:rsid w:val="00F86B47"/>
    <w:rsid w:val="00F87FBE"/>
    <w:rsid w:val="00F900FA"/>
    <w:rsid w:val="00F91FEC"/>
    <w:rsid w:val="00F92671"/>
    <w:rsid w:val="00F94278"/>
    <w:rsid w:val="00F94A5B"/>
    <w:rsid w:val="00F957E9"/>
    <w:rsid w:val="00F96BB9"/>
    <w:rsid w:val="00FA1CD3"/>
    <w:rsid w:val="00FA43E6"/>
    <w:rsid w:val="00FA5469"/>
    <w:rsid w:val="00FB0127"/>
    <w:rsid w:val="00FB2AEA"/>
    <w:rsid w:val="00FB3D5A"/>
    <w:rsid w:val="00FB3DF3"/>
    <w:rsid w:val="00FB44AA"/>
    <w:rsid w:val="00FB5671"/>
    <w:rsid w:val="00FB5C75"/>
    <w:rsid w:val="00FB6CDE"/>
    <w:rsid w:val="00FB7496"/>
    <w:rsid w:val="00FC2566"/>
    <w:rsid w:val="00FC3B1B"/>
    <w:rsid w:val="00FC490A"/>
    <w:rsid w:val="00FC4D55"/>
    <w:rsid w:val="00FC5552"/>
    <w:rsid w:val="00FC55F7"/>
    <w:rsid w:val="00FC58C1"/>
    <w:rsid w:val="00FC67D5"/>
    <w:rsid w:val="00FD0DD5"/>
    <w:rsid w:val="00FD1416"/>
    <w:rsid w:val="00FD31C4"/>
    <w:rsid w:val="00FD3FAE"/>
    <w:rsid w:val="00FD5303"/>
    <w:rsid w:val="00FD5877"/>
    <w:rsid w:val="00FE037F"/>
    <w:rsid w:val="00FE1334"/>
    <w:rsid w:val="00FE4F28"/>
    <w:rsid w:val="00FE6D51"/>
    <w:rsid w:val="00FF5B9D"/>
    <w:rsid w:val="00FF7BA4"/>
    <w:rsid w:val="00FFF7E7"/>
    <w:rsid w:val="105E757A"/>
    <w:rsid w:val="17F7CE60"/>
    <w:rsid w:val="26404251"/>
    <w:rsid w:val="3BDA89C0"/>
    <w:rsid w:val="4481C457"/>
    <w:rsid w:val="4B6BC10A"/>
    <w:rsid w:val="66A12CBC"/>
    <w:rsid w:val="67676729"/>
    <w:rsid w:val="74DB57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C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E3484D"/>
    <w:pPr>
      <w:keepNext/>
      <w:keepLines/>
      <w:spacing w:before="360" w:after="120" w:line="460" w:lineRule="atLeast"/>
      <w:contextualSpacing/>
      <w:outlineLvl w:val="0"/>
    </w:pPr>
    <w:rPr>
      <w:rFonts w:asciiTheme="majorHAnsi" w:eastAsiaTheme="majorEastAsia" w:hAnsiTheme="majorHAnsi" w:cstheme="majorBidi"/>
      <w:bCs/>
      <w:color w:val="006066"/>
      <w:sz w:val="40"/>
      <w:szCs w:val="28"/>
    </w:rPr>
  </w:style>
  <w:style w:type="paragraph" w:styleId="Heading2">
    <w:name w:val="heading 2"/>
    <w:basedOn w:val="Heading1"/>
    <w:next w:val="Normal"/>
    <w:link w:val="Heading2Char"/>
    <w:uiPriority w:val="9"/>
    <w:unhideWhenUsed/>
    <w:qFormat/>
    <w:rsid w:val="00E3484D"/>
    <w:pPr>
      <w:spacing w:line="400" w:lineRule="atLeast"/>
      <w:outlineLvl w:val="1"/>
    </w:pPr>
    <w:rPr>
      <w:bCs w:val="0"/>
      <w:sz w:val="34"/>
      <w:szCs w:val="26"/>
      <w:lang w:val="en-US"/>
    </w:rPr>
  </w:style>
  <w:style w:type="paragraph" w:styleId="Heading3">
    <w:name w:val="heading 3"/>
    <w:basedOn w:val="Heading2"/>
    <w:next w:val="Normal"/>
    <w:link w:val="Heading3Char"/>
    <w:uiPriority w:val="9"/>
    <w:unhideWhenUsed/>
    <w:qFormat/>
    <w:rsid w:val="00763FED"/>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00474C"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002F32"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84D"/>
    <w:rPr>
      <w:rFonts w:asciiTheme="majorHAnsi" w:eastAsiaTheme="majorEastAsia" w:hAnsiTheme="majorHAnsi" w:cstheme="majorBidi"/>
      <w:bCs/>
      <w:color w:val="006066"/>
      <w:sz w:val="40"/>
      <w:szCs w:val="28"/>
    </w:rPr>
  </w:style>
  <w:style w:type="character" w:customStyle="1" w:styleId="Heading2Char">
    <w:name w:val="Heading 2 Char"/>
    <w:basedOn w:val="DefaultParagraphFont"/>
    <w:link w:val="Heading2"/>
    <w:uiPriority w:val="9"/>
    <w:rsid w:val="00E3484D"/>
    <w:rPr>
      <w:rFonts w:asciiTheme="majorHAnsi" w:eastAsiaTheme="majorEastAsia" w:hAnsiTheme="majorHAnsi" w:cstheme="majorBidi"/>
      <w:color w:val="006066"/>
      <w:sz w:val="34"/>
      <w:szCs w:val="26"/>
      <w:lang w:val="en-US"/>
    </w:rPr>
  </w:style>
  <w:style w:type="character" w:customStyle="1" w:styleId="Heading3Char">
    <w:name w:val="Heading 3 Char"/>
    <w:basedOn w:val="DefaultParagraphFont"/>
    <w:link w:val="Heading3"/>
    <w:uiPriority w:val="9"/>
    <w:rsid w:val="00763FED"/>
    <w:rPr>
      <w:rFonts w:asciiTheme="majorHAnsi" w:eastAsiaTheme="majorEastAsia" w:hAnsiTheme="majorHAnsi" w:cstheme="majorBidi"/>
      <w:bCs/>
      <w:color w:val="006066"/>
      <w:sz w:val="30"/>
      <w:szCs w:val="26"/>
      <w:lang w:val="en-US"/>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265659"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265659"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2"/>
      </w:numPr>
      <w:ind w:left="397" w:hanging="397"/>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82589D"/>
    <w:pPr>
      <w:numPr>
        <w:ilvl w:val="1"/>
        <w:numId w:val="3"/>
      </w:numPr>
      <w:ind w:left="851" w:hanging="851"/>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6"/>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265659" w:themeColor="text2"/>
      <w:sz w:val="26"/>
      <w:szCs w:val="26"/>
    </w:rPr>
  </w:style>
  <w:style w:type="paragraph" w:styleId="TOC1">
    <w:name w:val="toc 1"/>
    <w:basedOn w:val="Normal"/>
    <w:next w:val="Normal"/>
    <w:autoRedefine/>
    <w:uiPriority w:val="39"/>
    <w:unhideWhenUsed/>
    <w:rsid w:val="00D57C12"/>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A27FEC"/>
    <w:pPr>
      <w:tabs>
        <w:tab w:val="left" w:pos="454"/>
        <w:tab w:val="right" w:pos="9072"/>
      </w:tabs>
      <w:spacing w:after="180" w:line="230" w:lineRule="atLeast"/>
    </w:pPr>
    <w:rPr>
      <w:b/>
      <w:bCs/>
      <w:noProof/>
      <w:sz w:val="23"/>
      <w:szCs w:val="23"/>
    </w:r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006066"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00474C"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002F32"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002F32"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link w:val="Boxed1TextChar"/>
    <w:qFormat/>
    <w:rsid w:val="00102EC7"/>
    <w:pPr>
      <w:pBdr>
        <w:top w:val="single" w:sz="4" w:space="14" w:color="DBEFED" w:themeColor="accent3" w:themeTint="33"/>
        <w:left w:val="single" w:sz="4" w:space="14" w:color="DBEFED" w:themeColor="accent3" w:themeTint="33"/>
        <w:bottom w:val="single" w:sz="4" w:space="14" w:color="DBEFED" w:themeColor="accent3" w:themeTint="33"/>
        <w:right w:val="single" w:sz="4" w:space="14" w:color="DBEFED" w:themeColor="accent3" w:themeTint="33"/>
      </w:pBdr>
      <w:shd w:val="clear" w:color="auto" w:fill="DBEFED" w:themeFill="accent3" w:themeFillTint="33"/>
      <w:ind w:left="284" w:right="284"/>
    </w:pPr>
  </w:style>
  <w:style w:type="paragraph" w:customStyle="1" w:styleId="Boxed1Heading">
    <w:name w:val="Boxed 1 Heading"/>
    <w:basedOn w:val="Boxed1Text"/>
    <w:link w:val="Boxed1HeadingChar"/>
    <w:qFormat/>
    <w:rsid w:val="00BF7B49"/>
    <w:rPr>
      <w:b/>
      <w:sz w:val="24"/>
    </w:rPr>
  </w:style>
  <w:style w:type="paragraph" w:customStyle="1" w:styleId="Boxed2Text">
    <w:name w:val="Boxed 2 Text"/>
    <w:basedOn w:val="Boxed1Text"/>
    <w:qFormat/>
    <w:rsid w:val="00BF7B49"/>
    <w:pPr>
      <w:pBdr>
        <w:top w:val="single" w:sz="4" w:space="14" w:color="006066" w:themeColor="accent1"/>
        <w:left w:val="single" w:sz="4" w:space="14" w:color="006066" w:themeColor="accent1"/>
        <w:bottom w:val="single" w:sz="4" w:space="14" w:color="006066" w:themeColor="accent1"/>
        <w:right w:val="single" w:sz="4" w:space="14" w:color="006066" w:themeColor="accent1"/>
      </w:pBdr>
      <w:shd w:val="clear" w:color="auto" w:fill="006066" w:themeFill="accent1"/>
    </w:pPr>
    <w:rPr>
      <w:color w:val="FFFFFF" w:themeColor="background1"/>
    </w:rPr>
  </w:style>
  <w:style w:type="paragraph" w:customStyle="1" w:styleId="Boxed2Heading">
    <w:name w:val="Boxed 2 Heading"/>
    <w:basedOn w:val="Boxed2Text"/>
    <w:qFormat/>
    <w:rsid w:val="00BF7B49"/>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265659" w:themeColor="text2"/>
        <w:bottom w:val="single" w:sz="4" w:space="0" w:color="265659" w:themeColor="text2"/>
        <w:insideH w:val="single" w:sz="4" w:space="0" w:color="265659" w:themeColor="text2"/>
      </w:tblBorders>
      <w:tblCellMar>
        <w:left w:w="85" w:type="dxa"/>
        <w:right w:w="85" w:type="dxa"/>
      </w:tblCellMar>
    </w:tblPr>
    <w:trPr>
      <w:cantSplit/>
    </w:trPr>
    <w:tblStylePr w:type="firstRow">
      <w:rPr>
        <w:b/>
      </w:rPr>
      <w:tblPr/>
      <w:trPr>
        <w:tblHeader/>
      </w:trPr>
      <w:tcPr>
        <w:shd w:val="clear" w:color="auto" w:fill="265659" w:themeFill="text2"/>
      </w:tcPr>
    </w:tblStylePr>
    <w:tblStylePr w:type="lastRow">
      <w:tblPr/>
      <w:tcPr>
        <w:shd w:val="clear" w:color="auto" w:fill="265659" w:themeFill="text2"/>
      </w:tcPr>
    </w:tblStylePr>
    <w:tblStylePr w:type="firstCol">
      <w:tblPr/>
      <w:tcPr>
        <w:tcBorders>
          <w:insideH w:val="single" w:sz="4" w:space="0" w:color="FFFFFF" w:themeColor="background1"/>
        </w:tcBorders>
        <w:shd w:val="clear" w:color="auto" w:fill="265659" w:themeFill="text2"/>
      </w:tcPr>
    </w:tblStylePr>
    <w:tblStylePr w:type="lastCol">
      <w:tblPr/>
      <w:tcPr>
        <w:shd w:val="clear" w:color="auto" w:fill="BFBFBF" w:themeFill="background1" w:themeFillShade="BF"/>
      </w:tcPr>
    </w:tblStylePr>
    <w:tblStylePr w:type="band1Vert">
      <w:tblPr/>
      <w:tcPr>
        <w:shd w:val="clear" w:color="auto" w:fill="E7E6E6" w:themeFill="background2"/>
      </w:tcPr>
    </w:tblStylePr>
    <w:tblStylePr w:type="band2Vert">
      <w:tblPr/>
      <w:tcPr>
        <w:shd w:val="clear" w:color="auto" w:fill="FFFFFF" w:themeFill="background1"/>
      </w:tcPr>
    </w:tblStylePr>
    <w:tblStylePr w:type="band1Horz">
      <w:tblPr/>
      <w:tcPr>
        <w:shd w:val="clear" w:color="auto" w:fill="E7E6E6"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paragraph" w:customStyle="1" w:styleId="Boxed3Heading">
    <w:name w:val="Boxed 3 Heading"/>
    <w:basedOn w:val="Boxed1Heading"/>
    <w:link w:val="Boxed3HeadingChar"/>
    <w:qFormat/>
    <w:rsid w:val="00FA1CD3"/>
    <w:pPr>
      <w:pBdr>
        <w:top w:val="single" w:sz="4" w:space="14" w:color="EAAA00" w:themeColor="accent5"/>
        <w:left w:val="single" w:sz="4" w:space="14" w:color="EAAA00" w:themeColor="accent5"/>
        <w:bottom w:val="single" w:sz="4" w:space="14" w:color="EAAA00" w:themeColor="accent5"/>
        <w:right w:val="single" w:sz="4" w:space="14" w:color="EAAA00" w:themeColor="accent5"/>
      </w:pBdr>
      <w:shd w:val="clear" w:color="auto" w:fill="EAAA00" w:themeFill="accent5"/>
    </w:pPr>
    <w:rPr>
      <w:sz w:val="22"/>
    </w:rPr>
  </w:style>
  <w:style w:type="character" w:customStyle="1" w:styleId="Boxed1TextChar">
    <w:name w:val="Boxed 1 Text Char"/>
    <w:basedOn w:val="DefaultParagraphFont"/>
    <w:link w:val="Boxed1Text"/>
    <w:rsid w:val="00102EC7"/>
    <w:rPr>
      <w:shd w:val="clear" w:color="auto" w:fill="DBEFED" w:themeFill="accent3" w:themeFillTint="33"/>
    </w:rPr>
  </w:style>
  <w:style w:type="character" w:customStyle="1" w:styleId="Boxed1HeadingChar">
    <w:name w:val="Boxed 1 Heading Char"/>
    <w:basedOn w:val="Boxed1TextChar"/>
    <w:link w:val="Boxed1Heading"/>
    <w:rsid w:val="003C554E"/>
    <w:rPr>
      <w:b/>
      <w:sz w:val="24"/>
      <w:shd w:val="clear" w:color="auto" w:fill="C0DDDE"/>
    </w:rPr>
  </w:style>
  <w:style w:type="character" w:customStyle="1" w:styleId="Boxed3HeadingChar">
    <w:name w:val="Boxed 3 Heading Char"/>
    <w:basedOn w:val="Boxed1HeadingChar"/>
    <w:link w:val="Boxed3Heading"/>
    <w:rsid w:val="00FA1CD3"/>
    <w:rPr>
      <w:b/>
      <w:sz w:val="24"/>
      <w:shd w:val="clear" w:color="auto" w:fill="EAAA00" w:themeFill="accent5"/>
    </w:rPr>
  </w:style>
  <w:style w:type="paragraph" w:customStyle="1" w:styleId="Boxed3Text">
    <w:name w:val="Boxed 3 Text"/>
    <w:basedOn w:val="Boxed3Heading"/>
    <w:link w:val="Boxed3TextChar"/>
    <w:qFormat/>
    <w:rsid w:val="001E4137"/>
    <w:pPr>
      <w:pBdr>
        <w:top w:val="single" w:sz="4" w:space="14" w:color="FFEACC" w:themeColor="accent6" w:themeTint="33"/>
        <w:left w:val="single" w:sz="4" w:space="14" w:color="FFEACC" w:themeColor="accent6" w:themeTint="33"/>
        <w:bottom w:val="single" w:sz="4" w:space="14" w:color="FFEACC" w:themeColor="accent6" w:themeTint="33"/>
        <w:right w:val="single" w:sz="4" w:space="14" w:color="FFEACC" w:themeColor="accent6" w:themeTint="33"/>
      </w:pBdr>
      <w:shd w:val="clear" w:color="auto" w:fill="FFEACC" w:themeFill="accent6" w:themeFillTint="33"/>
    </w:pPr>
    <w:rPr>
      <w:b w:val="0"/>
    </w:rPr>
  </w:style>
  <w:style w:type="character" w:customStyle="1" w:styleId="Boxed3TextChar">
    <w:name w:val="Boxed 3 Text Char"/>
    <w:basedOn w:val="Boxed3HeadingChar"/>
    <w:link w:val="Boxed3Text"/>
    <w:rsid w:val="001E4137"/>
    <w:rPr>
      <w:b w:val="0"/>
      <w:sz w:val="24"/>
      <w:shd w:val="clear" w:color="auto" w:fill="FFEACC" w:themeFill="accent6" w:themeFillTint="33"/>
    </w:rPr>
  </w:style>
  <w:style w:type="paragraph" w:styleId="NoSpacing">
    <w:name w:val="No Spacing"/>
    <w:uiPriority w:val="1"/>
    <w:qFormat/>
    <w:rsid w:val="008F1D30"/>
    <w:pPr>
      <w:suppressAutoHyphens/>
      <w:spacing w:after="0" w:line="240" w:lineRule="auto"/>
    </w:pPr>
  </w:style>
  <w:style w:type="table" w:styleId="ListTable2-Accent1">
    <w:name w:val="List Table 2 Accent 1"/>
    <w:basedOn w:val="TableNormal"/>
    <w:uiPriority w:val="47"/>
    <w:rsid w:val="008F1D30"/>
    <w:pPr>
      <w:spacing w:after="0" w:line="240" w:lineRule="auto"/>
    </w:pPr>
    <w:tblPr>
      <w:tblStyleRowBandSize w:val="1"/>
      <w:tblStyleColBandSize w:val="1"/>
      <w:tblBorders>
        <w:top w:val="single" w:sz="4" w:space="0" w:color="0AF0FF" w:themeColor="accent1" w:themeTint="99"/>
        <w:bottom w:val="single" w:sz="4" w:space="0" w:color="0AF0FF" w:themeColor="accent1" w:themeTint="99"/>
        <w:insideH w:val="single" w:sz="4" w:space="0" w:color="0AF0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AFF" w:themeFill="accent1" w:themeFillTint="33"/>
      </w:tcPr>
    </w:tblStylePr>
    <w:tblStylePr w:type="band1Horz">
      <w:tblPr/>
      <w:tcPr>
        <w:shd w:val="clear" w:color="auto" w:fill="ADFAFF" w:themeFill="accent1" w:themeFillTint="33"/>
      </w:tcPr>
    </w:tblStylePr>
  </w:style>
  <w:style w:type="table" w:styleId="ListTable2-Accent3">
    <w:name w:val="List Table 2 Accent 3"/>
    <w:basedOn w:val="TableNormal"/>
    <w:uiPriority w:val="47"/>
    <w:rsid w:val="008F1D30"/>
    <w:pPr>
      <w:spacing w:after="0" w:line="240" w:lineRule="auto"/>
    </w:pPr>
    <w:tblPr>
      <w:tblStyleRowBandSize w:val="1"/>
      <w:tblStyleColBandSize w:val="1"/>
      <w:tblBorders>
        <w:top w:val="single" w:sz="4" w:space="0" w:color="94D0CA" w:themeColor="accent3" w:themeTint="99"/>
        <w:bottom w:val="single" w:sz="4" w:space="0" w:color="94D0CA" w:themeColor="accent3" w:themeTint="99"/>
        <w:insideH w:val="single" w:sz="4" w:space="0" w:color="94D0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FED" w:themeFill="accent3" w:themeFillTint="33"/>
      </w:tcPr>
    </w:tblStylePr>
    <w:tblStylePr w:type="band1Horz">
      <w:tblPr/>
      <w:tcPr>
        <w:shd w:val="clear" w:color="auto" w:fill="DBEFED" w:themeFill="accent3" w:themeFillTint="33"/>
      </w:tcPr>
    </w:tblStylePr>
  </w:style>
  <w:style w:type="character" w:styleId="CommentReference">
    <w:name w:val="annotation reference"/>
    <w:basedOn w:val="DefaultParagraphFont"/>
    <w:uiPriority w:val="99"/>
    <w:semiHidden/>
    <w:unhideWhenUsed/>
    <w:rsid w:val="006F58E3"/>
    <w:rPr>
      <w:sz w:val="16"/>
      <w:szCs w:val="16"/>
    </w:rPr>
  </w:style>
  <w:style w:type="paragraph" w:styleId="CommentText">
    <w:name w:val="annotation text"/>
    <w:basedOn w:val="Normal"/>
    <w:link w:val="CommentTextChar"/>
    <w:uiPriority w:val="99"/>
    <w:unhideWhenUsed/>
    <w:rsid w:val="006F58E3"/>
    <w:pPr>
      <w:spacing w:line="240" w:lineRule="auto"/>
    </w:pPr>
    <w:rPr>
      <w:sz w:val="20"/>
      <w:szCs w:val="20"/>
    </w:rPr>
  </w:style>
  <w:style w:type="character" w:customStyle="1" w:styleId="CommentTextChar">
    <w:name w:val="Comment Text Char"/>
    <w:basedOn w:val="DefaultParagraphFont"/>
    <w:link w:val="CommentText"/>
    <w:uiPriority w:val="99"/>
    <w:rsid w:val="006F58E3"/>
    <w:rPr>
      <w:sz w:val="20"/>
      <w:szCs w:val="20"/>
    </w:rPr>
  </w:style>
  <w:style w:type="paragraph" w:styleId="CommentSubject">
    <w:name w:val="annotation subject"/>
    <w:basedOn w:val="CommentText"/>
    <w:next w:val="CommentText"/>
    <w:link w:val="CommentSubjectChar"/>
    <w:uiPriority w:val="99"/>
    <w:semiHidden/>
    <w:unhideWhenUsed/>
    <w:rsid w:val="006F58E3"/>
    <w:rPr>
      <w:b/>
      <w:bCs/>
    </w:rPr>
  </w:style>
  <w:style w:type="character" w:customStyle="1" w:styleId="CommentSubjectChar">
    <w:name w:val="Comment Subject Char"/>
    <w:basedOn w:val="CommentTextChar"/>
    <w:link w:val="CommentSubject"/>
    <w:uiPriority w:val="99"/>
    <w:semiHidden/>
    <w:rsid w:val="006F58E3"/>
    <w:rPr>
      <w:b/>
      <w:bCs/>
      <w:sz w:val="20"/>
      <w:szCs w:val="20"/>
    </w:rPr>
  </w:style>
  <w:style w:type="character" w:styleId="UnresolvedMention">
    <w:name w:val="Unresolved Mention"/>
    <w:basedOn w:val="DefaultParagraphFont"/>
    <w:uiPriority w:val="99"/>
    <w:semiHidden/>
    <w:unhideWhenUsed/>
    <w:rsid w:val="00703427"/>
    <w:rPr>
      <w:color w:val="605E5C"/>
      <w:shd w:val="clear" w:color="auto" w:fill="E1DFDD"/>
    </w:rPr>
  </w:style>
  <w:style w:type="table" w:styleId="ListTable3-Accent1">
    <w:name w:val="List Table 3 Accent 1"/>
    <w:basedOn w:val="TableNormal"/>
    <w:uiPriority w:val="48"/>
    <w:rsid w:val="00D73C35"/>
    <w:pPr>
      <w:spacing w:after="0" w:line="240" w:lineRule="auto"/>
    </w:pPr>
    <w:tblPr>
      <w:tblStyleRowBandSize w:val="1"/>
      <w:tblStyleColBandSize w:val="1"/>
      <w:tblBorders>
        <w:top w:val="single" w:sz="4" w:space="0" w:color="006066" w:themeColor="accent1"/>
        <w:left w:val="single" w:sz="4" w:space="0" w:color="006066" w:themeColor="accent1"/>
        <w:bottom w:val="single" w:sz="4" w:space="0" w:color="006066" w:themeColor="accent1"/>
        <w:right w:val="single" w:sz="4" w:space="0" w:color="006066" w:themeColor="accent1"/>
      </w:tblBorders>
    </w:tblPr>
    <w:tblStylePr w:type="firstRow">
      <w:rPr>
        <w:b/>
        <w:bCs/>
        <w:color w:val="FFFFFF" w:themeColor="background1"/>
      </w:rPr>
      <w:tblPr/>
      <w:tcPr>
        <w:shd w:val="clear" w:color="auto" w:fill="006066" w:themeFill="accent1"/>
      </w:tcPr>
    </w:tblStylePr>
    <w:tblStylePr w:type="lastRow">
      <w:rPr>
        <w:b/>
        <w:bCs/>
      </w:rPr>
      <w:tblPr/>
      <w:tcPr>
        <w:tcBorders>
          <w:top w:val="double" w:sz="4" w:space="0" w:color="00606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066" w:themeColor="accent1"/>
          <w:right w:val="single" w:sz="4" w:space="0" w:color="006066" w:themeColor="accent1"/>
        </w:tcBorders>
      </w:tcPr>
    </w:tblStylePr>
    <w:tblStylePr w:type="band1Horz">
      <w:tblPr/>
      <w:tcPr>
        <w:tcBorders>
          <w:top w:val="single" w:sz="4" w:space="0" w:color="006066" w:themeColor="accent1"/>
          <w:bottom w:val="single" w:sz="4" w:space="0" w:color="00606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066" w:themeColor="accent1"/>
          <w:left w:val="nil"/>
        </w:tcBorders>
      </w:tcPr>
    </w:tblStylePr>
    <w:tblStylePr w:type="swCell">
      <w:tblPr/>
      <w:tcPr>
        <w:tcBorders>
          <w:top w:val="double" w:sz="4" w:space="0" w:color="006066" w:themeColor="accent1"/>
          <w:right w:val="nil"/>
        </w:tcBorders>
      </w:tcPr>
    </w:tblStylePr>
  </w:style>
  <w:style w:type="table" w:styleId="GridTable1Light-Accent2">
    <w:name w:val="Grid Table 1 Light Accent 2"/>
    <w:basedOn w:val="TableNormal"/>
    <w:uiPriority w:val="46"/>
    <w:rsid w:val="00160A16"/>
    <w:pPr>
      <w:spacing w:after="0" w:line="240" w:lineRule="auto"/>
    </w:pPr>
    <w:tblPr>
      <w:tblStyleRowBandSize w:val="1"/>
      <w:tblStyleColBandSize w:val="1"/>
      <w:tblBorders>
        <w:top w:val="single" w:sz="4" w:space="0" w:color="96E1DF" w:themeColor="accent2" w:themeTint="66"/>
        <w:left w:val="single" w:sz="4" w:space="0" w:color="96E1DF" w:themeColor="accent2" w:themeTint="66"/>
        <w:bottom w:val="single" w:sz="4" w:space="0" w:color="96E1DF" w:themeColor="accent2" w:themeTint="66"/>
        <w:right w:val="single" w:sz="4" w:space="0" w:color="96E1DF" w:themeColor="accent2" w:themeTint="66"/>
        <w:insideH w:val="single" w:sz="4" w:space="0" w:color="96E1DF" w:themeColor="accent2" w:themeTint="66"/>
        <w:insideV w:val="single" w:sz="4" w:space="0" w:color="96E1DF" w:themeColor="accent2" w:themeTint="66"/>
      </w:tblBorders>
    </w:tblPr>
    <w:tblStylePr w:type="firstRow">
      <w:rPr>
        <w:b/>
        <w:bCs/>
      </w:rPr>
      <w:tblPr/>
      <w:tcPr>
        <w:tcBorders>
          <w:bottom w:val="single" w:sz="12" w:space="0" w:color="62D2CF" w:themeColor="accent2" w:themeTint="99"/>
        </w:tcBorders>
      </w:tcPr>
    </w:tblStylePr>
    <w:tblStylePr w:type="lastRow">
      <w:rPr>
        <w:b/>
        <w:bCs/>
      </w:rPr>
      <w:tblPr/>
      <w:tcPr>
        <w:tcBorders>
          <w:top w:val="double" w:sz="2" w:space="0" w:color="62D2CF"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C54C29"/>
    <w:pPr>
      <w:spacing w:after="0" w:line="240" w:lineRule="auto"/>
    </w:pPr>
  </w:style>
  <w:style w:type="table" w:styleId="ListTable4-Accent3">
    <w:name w:val="List Table 4 Accent 3"/>
    <w:basedOn w:val="TableNormal"/>
    <w:uiPriority w:val="49"/>
    <w:rsid w:val="00F92671"/>
    <w:pPr>
      <w:spacing w:after="0" w:line="240" w:lineRule="auto"/>
    </w:pPr>
    <w:tblPr>
      <w:tblStyleRowBandSize w:val="1"/>
      <w:tblStyleColBandSize w:val="1"/>
      <w:tblBorders>
        <w:top w:val="single" w:sz="4" w:space="0" w:color="94D0CA" w:themeColor="accent3" w:themeTint="99"/>
        <w:left w:val="single" w:sz="4" w:space="0" w:color="94D0CA" w:themeColor="accent3" w:themeTint="99"/>
        <w:bottom w:val="single" w:sz="4" w:space="0" w:color="94D0CA" w:themeColor="accent3" w:themeTint="99"/>
        <w:right w:val="single" w:sz="4" w:space="0" w:color="94D0CA" w:themeColor="accent3" w:themeTint="99"/>
        <w:insideH w:val="single" w:sz="4" w:space="0" w:color="94D0CA" w:themeColor="accent3" w:themeTint="99"/>
      </w:tblBorders>
    </w:tblPr>
    <w:tblStylePr w:type="firstRow">
      <w:rPr>
        <w:b/>
        <w:bCs/>
        <w:color w:val="FFFFFF" w:themeColor="background1"/>
      </w:rPr>
      <w:tblPr/>
      <w:tcPr>
        <w:tcBorders>
          <w:top w:val="single" w:sz="4" w:space="0" w:color="4EB1A7" w:themeColor="accent3"/>
          <w:left w:val="single" w:sz="4" w:space="0" w:color="4EB1A7" w:themeColor="accent3"/>
          <w:bottom w:val="single" w:sz="4" w:space="0" w:color="4EB1A7" w:themeColor="accent3"/>
          <w:right w:val="single" w:sz="4" w:space="0" w:color="4EB1A7" w:themeColor="accent3"/>
          <w:insideH w:val="nil"/>
        </w:tcBorders>
        <w:shd w:val="clear" w:color="auto" w:fill="4EB1A7" w:themeFill="accent3"/>
      </w:tcPr>
    </w:tblStylePr>
    <w:tblStylePr w:type="lastRow">
      <w:rPr>
        <w:b/>
        <w:bCs/>
      </w:rPr>
      <w:tblPr/>
      <w:tcPr>
        <w:tcBorders>
          <w:top w:val="double" w:sz="4" w:space="0" w:color="94D0CA" w:themeColor="accent3" w:themeTint="99"/>
        </w:tcBorders>
      </w:tcPr>
    </w:tblStylePr>
    <w:tblStylePr w:type="firstCol">
      <w:rPr>
        <w:b/>
        <w:bCs/>
      </w:rPr>
    </w:tblStylePr>
    <w:tblStylePr w:type="lastCol">
      <w:rPr>
        <w:b/>
        <w:bCs/>
      </w:rPr>
    </w:tblStylePr>
    <w:tblStylePr w:type="band1Vert">
      <w:tblPr/>
      <w:tcPr>
        <w:shd w:val="clear" w:color="auto" w:fill="DBEFED" w:themeFill="accent3" w:themeFillTint="33"/>
      </w:tcPr>
    </w:tblStylePr>
    <w:tblStylePr w:type="band1Horz">
      <w:tblPr/>
      <w:tcPr>
        <w:shd w:val="clear" w:color="auto" w:fill="DBEFED" w:themeFill="accent3" w:themeFillTint="33"/>
      </w:tcPr>
    </w:tblStylePr>
  </w:style>
  <w:style w:type="table" w:styleId="ListTable4-Accent4">
    <w:name w:val="List Table 4 Accent 4"/>
    <w:basedOn w:val="TableNormal"/>
    <w:uiPriority w:val="49"/>
    <w:rsid w:val="001D3DE4"/>
    <w:pPr>
      <w:spacing w:after="0" w:line="240" w:lineRule="auto"/>
    </w:pPr>
    <w:tblPr>
      <w:tblStyleRowBandSize w:val="1"/>
      <w:tblStyleColBandSize w:val="1"/>
      <w:tblBorders>
        <w:top w:val="single" w:sz="4" w:space="0" w:color="C3E9E8" w:themeColor="accent4" w:themeTint="99"/>
        <w:left w:val="single" w:sz="4" w:space="0" w:color="C3E9E8" w:themeColor="accent4" w:themeTint="99"/>
        <w:bottom w:val="single" w:sz="4" w:space="0" w:color="C3E9E8" w:themeColor="accent4" w:themeTint="99"/>
        <w:right w:val="single" w:sz="4" w:space="0" w:color="C3E9E8" w:themeColor="accent4" w:themeTint="99"/>
        <w:insideH w:val="single" w:sz="4" w:space="0" w:color="C3E9E8" w:themeColor="accent4" w:themeTint="99"/>
      </w:tblBorders>
    </w:tblPr>
    <w:tblStylePr w:type="firstRow">
      <w:rPr>
        <w:b/>
        <w:bCs/>
        <w:color w:val="FFFFFF" w:themeColor="background1"/>
      </w:rPr>
      <w:tblPr/>
      <w:tcPr>
        <w:tcBorders>
          <w:top w:val="single" w:sz="4" w:space="0" w:color="9CDBD9" w:themeColor="accent4"/>
          <w:left w:val="single" w:sz="4" w:space="0" w:color="9CDBD9" w:themeColor="accent4"/>
          <w:bottom w:val="single" w:sz="4" w:space="0" w:color="9CDBD9" w:themeColor="accent4"/>
          <w:right w:val="single" w:sz="4" w:space="0" w:color="9CDBD9" w:themeColor="accent4"/>
          <w:insideH w:val="nil"/>
        </w:tcBorders>
        <w:shd w:val="clear" w:color="auto" w:fill="9CDBD9" w:themeFill="accent4"/>
      </w:tcPr>
    </w:tblStylePr>
    <w:tblStylePr w:type="lastRow">
      <w:rPr>
        <w:b/>
        <w:bCs/>
      </w:rPr>
      <w:tblPr/>
      <w:tcPr>
        <w:tcBorders>
          <w:top w:val="double" w:sz="4" w:space="0" w:color="C3E9E8" w:themeColor="accent4" w:themeTint="99"/>
        </w:tcBorders>
      </w:tcPr>
    </w:tblStylePr>
    <w:tblStylePr w:type="firstCol">
      <w:rPr>
        <w:b/>
        <w:bCs/>
      </w:rPr>
    </w:tblStylePr>
    <w:tblStylePr w:type="lastCol">
      <w:rPr>
        <w:b/>
        <w:bCs/>
      </w:rPr>
    </w:tblStylePr>
    <w:tblStylePr w:type="band1Vert">
      <w:tblPr/>
      <w:tcPr>
        <w:shd w:val="clear" w:color="auto" w:fill="EBF7F7" w:themeFill="accent4" w:themeFillTint="33"/>
      </w:tcPr>
    </w:tblStylePr>
    <w:tblStylePr w:type="band1Horz">
      <w:tblPr/>
      <w:tcPr>
        <w:shd w:val="clear" w:color="auto" w:fill="EBF7F7" w:themeFill="accent4" w:themeFillTint="33"/>
      </w:tcPr>
    </w:tblStylePr>
  </w:style>
  <w:style w:type="table" w:styleId="GridTable4-Accent3">
    <w:name w:val="Grid Table 4 Accent 3"/>
    <w:basedOn w:val="TableNormal"/>
    <w:uiPriority w:val="49"/>
    <w:rsid w:val="00601E46"/>
    <w:pPr>
      <w:spacing w:after="0" w:line="240" w:lineRule="auto"/>
    </w:pPr>
    <w:tblPr>
      <w:tblStyleRowBandSize w:val="1"/>
      <w:tblStyleColBandSize w:val="1"/>
      <w:tblBorders>
        <w:top w:val="single" w:sz="4" w:space="0" w:color="94D0CA" w:themeColor="accent3" w:themeTint="99"/>
        <w:left w:val="single" w:sz="4" w:space="0" w:color="94D0CA" w:themeColor="accent3" w:themeTint="99"/>
        <w:bottom w:val="single" w:sz="4" w:space="0" w:color="94D0CA" w:themeColor="accent3" w:themeTint="99"/>
        <w:right w:val="single" w:sz="4" w:space="0" w:color="94D0CA" w:themeColor="accent3" w:themeTint="99"/>
        <w:insideH w:val="single" w:sz="4" w:space="0" w:color="94D0CA" w:themeColor="accent3" w:themeTint="99"/>
        <w:insideV w:val="single" w:sz="4" w:space="0" w:color="94D0CA" w:themeColor="accent3" w:themeTint="99"/>
      </w:tblBorders>
    </w:tblPr>
    <w:tblStylePr w:type="firstRow">
      <w:rPr>
        <w:b/>
        <w:bCs/>
        <w:color w:val="FFFFFF" w:themeColor="background1"/>
      </w:rPr>
      <w:tblPr/>
      <w:tcPr>
        <w:tcBorders>
          <w:top w:val="single" w:sz="4" w:space="0" w:color="4EB1A7" w:themeColor="accent3"/>
          <w:left w:val="single" w:sz="4" w:space="0" w:color="4EB1A7" w:themeColor="accent3"/>
          <w:bottom w:val="single" w:sz="4" w:space="0" w:color="4EB1A7" w:themeColor="accent3"/>
          <w:right w:val="single" w:sz="4" w:space="0" w:color="4EB1A7" w:themeColor="accent3"/>
          <w:insideH w:val="nil"/>
          <w:insideV w:val="nil"/>
        </w:tcBorders>
        <w:shd w:val="clear" w:color="auto" w:fill="4EB1A7" w:themeFill="accent3"/>
      </w:tcPr>
    </w:tblStylePr>
    <w:tblStylePr w:type="lastRow">
      <w:rPr>
        <w:b/>
        <w:bCs/>
      </w:rPr>
      <w:tblPr/>
      <w:tcPr>
        <w:tcBorders>
          <w:top w:val="double" w:sz="4" w:space="0" w:color="4EB1A7" w:themeColor="accent3"/>
        </w:tcBorders>
      </w:tcPr>
    </w:tblStylePr>
    <w:tblStylePr w:type="firstCol">
      <w:rPr>
        <w:b/>
        <w:bCs/>
      </w:rPr>
    </w:tblStylePr>
    <w:tblStylePr w:type="lastCol">
      <w:rPr>
        <w:b/>
        <w:bCs/>
      </w:rPr>
    </w:tblStylePr>
    <w:tblStylePr w:type="band1Vert">
      <w:tblPr/>
      <w:tcPr>
        <w:shd w:val="clear" w:color="auto" w:fill="DBEFED" w:themeFill="accent3" w:themeFillTint="33"/>
      </w:tcPr>
    </w:tblStylePr>
    <w:tblStylePr w:type="band1Horz">
      <w:tblPr/>
      <w:tcPr>
        <w:shd w:val="clear" w:color="auto" w:fill="DBEFED" w:themeFill="accent3" w:themeFillTint="33"/>
      </w:tcPr>
    </w:tblStylePr>
  </w:style>
  <w:style w:type="table" w:styleId="ListTable2-Accent4">
    <w:name w:val="List Table 2 Accent 4"/>
    <w:basedOn w:val="TableNormal"/>
    <w:uiPriority w:val="47"/>
    <w:rsid w:val="00681CEF"/>
    <w:pPr>
      <w:spacing w:after="0" w:line="240" w:lineRule="auto"/>
    </w:pPr>
    <w:tblPr>
      <w:tblStyleRowBandSize w:val="1"/>
      <w:tblStyleColBandSize w:val="1"/>
      <w:tblBorders>
        <w:top w:val="single" w:sz="4" w:space="0" w:color="C3E9E8" w:themeColor="accent4" w:themeTint="99"/>
        <w:bottom w:val="single" w:sz="4" w:space="0" w:color="C3E9E8" w:themeColor="accent4" w:themeTint="99"/>
        <w:insideH w:val="single" w:sz="4" w:space="0" w:color="C3E9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7F7" w:themeFill="accent4" w:themeFillTint="33"/>
      </w:tcPr>
    </w:tblStylePr>
    <w:tblStylePr w:type="band1Horz">
      <w:tblPr/>
      <w:tcPr>
        <w:shd w:val="clear" w:color="auto" w:fill="EBF7F7" w:themeFill="accent4" w:themeFillTint="33"/>
      </w:tcPr>
    </w:tblStylePr>
  </w:style>
  <w:style w:type="table" w:styleId="ListTable1Light-Accent3">
    <w:name w:val="List Table 1 Light Accent 3"/>
    <w:basedOn w:val="TableNormal"/>
    <w:uiPriority w:val="46"/>
    <w:rsid w:val="00681CEF"/>
    <w:pPr>
      <w:spacing w:after="0" w:line="240" w:lineRule="auto"/>
    </w:pPr>
    <w:tblPr>
      <w:tblStyleRowBandSize w:val="1"/>
      <w:tblStyleColBandSize w:val="1"/>
    </w:tblPr>
    <w:tblStylePr w:type="firstRow">
      <w:rPr>
        <w:b/>
        <w:bCs/>
      </w:rPr>
      <w:tblPr/>
      <w:tcPr>
        <w:tcBorders>
          <w:bottom w:val="single" w:sz="4" w:space="0" w:color="94D0CA" w:themeColor="accent3" w:themeTint="99"/>
        </w:tcBorders>
      </w:tcPr>
    </w:tblStylePr>
    <w:tblStylePr w:type="lastRow">
      <w:rPr>
        <w:b/>
        <w:bCs/>
      </w:rPr>
      <w:tblPr/>
      <w:tcPr>
        <w:tcBorders>
          <w:top w:val="single" w:sz="4" w:space="0" w:color="94D0CA" w:themeColor="accent3" w:themeTint="99"/>
        </w:tcBorders>
      </w:tcPr>
    </w:tblStylePr>
    <w:tblStylePr w:type="firstCol">
      <w:rPr>
        <w:b/>
        <w:bCs/>
      </w:rPr>
    </w:tblStylePr>
    <w:tblStylePr w:type="lastCol">
      <w:rPr>
        <w:b/>
        <w:bCs/>
      </w:rPr>
    </w:tblStylePr>
    <w:tblStylePr w:type="band1Vert">
      <w:tblPr/>
      <w:tcPr>
        <w:shd w:val="clear" w:color="auto" w:fill="DBEFED" w:themeFill="accent3" w:themeFillTint="33"/>
      </w:tcPr>
    </w:tblStylePr>
    <w:tblStylePr w:type="band1Horz">
      <w:tblPr/>
      <w:tcPr>
        <w:shd w:val="clear" w:color="auto" w:fill="DBEFED" w:themeFill="accent3" w:themeFillTint="33"/>
      </w:tcPr>
    </w:tblStylePr>
  </w:style>
  <w:style w:type="table" w:styleId="GridTable4-Accent2">
    <w:name w:val="Grid Table 4 Accent 2"/>
    <w:basedOn w:val="TableNormal"/>
    <w:uiPriority w:val="49"/>
    <w:rsid w:val="00A8075D"/>
    <w:pPr>
      <w:spacing w:after="0" w:line="240" w:lineRule="auto"/>
    </w:pPr>
    <w:tblPr>
      <w:tblStyleRowBandSize w:val="1"/>
      <w:tblStyleColBandSize w:val="1"/>
      <w:tblBorders>
        <w:top w:val="single" w:sz="4" w:space="0" w:color="62D2CF" w:themeColor="accent2" w:themeTint="99"/>
        <w:left w:val="single" w:sz="4" w:space="0" w:color="62D2CF" w:themeColor="accent2" w:themeTint="99"/>
        <w:bottom w:val="single" w:sz="4" w:space="0" w:color="62D2CF" w:themeColor="accent2" w:themeTint="99"/>
        <w:right w:val="single" w:sz="4" w:space="0" w:color="62D2CF" w:themeColor="accent2" w:themeTint="99"/>
        <w:insideH w:val="single" w:sz="4" w:space="0" w:color="62D2CF" w:themeColor="accent2" w:themeTint="99"/>
        <w:insideV w:val="single" w:sz="4" w:space="0" w:color="62D2CF" w:themeColor="accent2" w:themeTint="99"/>
      </w:tblBorders>
    </w:tblPr>
    <w:tblStylePr w:type="firstRow">
      <w:rPr>
        <w:b/>
        <w:bCs/>
        <w:color w:val="FFFFFF" w:themeColor="background1"/>
      </w:rPr>
      <w:tblPr/>
      <w:tcPr>
        <w:tcBorders>
          <w:top w:val="single" w:sz="4" w:space="0" w:color="278987" w:themeColor="accent2"/>
          <w:left w:val="single" w:sz="4" w:space="0" w:color="278987" w:themeColor="accent2"/>
          <w:bottom w:val="single" w:sz="4" w:space="0" w:color="278987" w:themeColor="accent2"/>
          <w:right w:val="single" w:sz="4" w:space="0" w:color="278987" w:themeColor="accent2"/>
          <w:insideH w:val="nil"/>
          <w:insideV w:val="nil"/>
        </w:tcBorders>
        <w:shd w:val="clear" w:color="auto" w:fill="278987" w:themeFill="accent2"/>
      </w:tcPr>
    </w:tblStylePr>
    <w:tblStylePr w:type="lastRow">
      <w:rPr>
        <w:b/>
        <w:bCs/>
      </w:rPr>
      <w:tblPr/>
      <w:tcPr>
        <w:tcBorders>
          <w:top w:val="double" w:sz="4" w:space="0" w:color="278987" w:themeColor="accent2"/>
        </w:tcBorders>
      </w:tcPr>
    </w:tblStylePr>
    <w:tblStylePr w:type="firstCol">
      <w:rPr>
        <w:b/>
        <w:bCs/>
      </w:rPr>
    </w:tblStylePr>
    <w:tblStylePr w:type="lastCol">
      <w:rPr>
        <w:b/>
        <w:bCs/>
      </w:rPr>
    </w:tblStylePr>
    <w:tblStylePr w:type="band1Vert">
      <w:tblPr/>
      <w:tcPr>
        <w:shd w:val="clear" w:color="auto" w:fill="CAF0EF" w:themeFill="accent2" w:themeFillTint="33"/>
      </w:tcPr>
    </w:tblStylePr>
    <w:tblStylePr w:type="band1Horz">
      <w:tblPr/>
      <w:tcPr>
        <w:shd w:val="clear" w:color="auto" w:fill="CAF0EF" w:themeFill="accent2" w:themeFillTint="33"/>
      </w:tcPr>
    </w:tblStylePr>
  </w:style>
  <w:style w:type="table" w:styleId="GridTable4-Accent4">
    <w:name w:val="Grid Table 4 Accent 4"/>
    <w:basedOn w:val="TableNormal"/>
    <w:uiPriority w:val="49"/>
    <w:rsid w:val="00A8075D"/>
    <w:pPr>
      <w:spacing w:after="0" w:line="240" w:lineRule="auto"/>
    </w:pPr>
    <w:tblPr>
      <w:tblStyleRowBandSize w:val="1"/>
      <w:tblStyleColBandSize w:val="1"/>
      <w:tblBorders>
        <w:top w:val="single" w:sz="4" w:space="0" w:color="C3E9E8" w:themeColor="accent4" w:themeTint="99"/>
        <w:left w:val="single" w:sz="4" w:space="0" w:color="C3E9E8" w:themeColor="accent4" w:themeTint="99"/>
        <w:bottom w:val="single" w:sz="4" w:space="0" w:color="C3E9E8" w:themeColor="accent4" w:themeTint="99"/>
        <w:right w:val="single" w:sz="4" w:space="0" w:color="C3E9E8" w:themeColor="accent4" w:themeTint="99"/>
        <w:insideH w:val="single" w:sz="4" w:space="0" w:color="C3E9E8" w:themeColor="accent4" w:themeTint="99"/>
        <w:insideV w:val="single" w:sz="4" w:space="0" w:color="C3E9E8" w:themeColor="accent4" w:themeTint="99"/>
      </w:tblBorders>
    </w:tblPr>
    <w:tblStylePr w:type="firstRow">
      <w:rPr>
        <w:b/>
        <w:bCs/>
        <w:color w:val="FFFFFF" w:themeColor="background1"/>
      </w:rPr>
      <w:tblPr/>
      <w:tcPr>
        <w:tcBorders>
          <w:top w:val="single" w:sz="4" w:space="0" w:color="9CDBD9" w:themeColor="accent4"/>
          <w:left w:val="single" w:sz="4" w:space="0" w:color="9CDBD9" w:themeColor="accent4"/>
          <w:bottom w:val="single" w:sz="4" w:space="0" w:color="9CDBD9" w:themeColor="accent4"/>
          <w:right w:val="single" w:sz="4" w:space="0" w:color="9CDBD9" w:themeColor="accent4"/>
          <w:insideH w:val="nil"/>
          <w:insideV w:val="nil"/>
        </w:tcBorders>
        <w:shd w:val="clear" w:color="auto" w:fill="9CDBD9" w:themeFill="accent4"/>
      </w:tcPr>
    </w:tblStylePr>
    <w:tblStylePr w:type="lastRow">
      <w:rPr>
        <w:b/>
        <w:bCs/>
      </w:rPr>
      <w:tblPr/>
      <w:tcPr>
        <w:tcBorders>
          <w:top w:val="double" w:sz="4" w:space="0" w:color="9CDBD9" w:themeColor="accent4"/>
        </w:tcBorders>
      </w:tcPr>
    </w:tblStylePr>
    <w:tblStylePr w:type="firstCol">
      <w:rPr>
        <w:b/>
        <w:bCs/>
      </w:rPr>
    </w:tblStylePr>
    <w:tblStylePr w:type="lastCol">
      <w:rPr>
        <w:b/>
        <w:bCs/>
      </w:rPr>
    </w:tblStylePr>
    <w:tblStylePr w:type="band1Vert">
      <w:tblPr/>
      <w:tcPr>
        <w:shd w:val="clear" w:color="auto" w:fill="EBF7F7" w:themeFill="accent4" w:themeFillTint="33"/>
      </w:tcPr>
    </w:tblStylePr>
    <w:tblStylePr w:type="band1Horz">
      <w:tblPr/>
      <w:tcPr>
        <w:shd w:val="clear" w:color="auto" w:fill="EBF7F7" w:themeFill="accent4" w:themeFillTint="33"/>
      </w:tcPr>
    </w:tblStylePr>
  </w:style>
  <w:style w:type="table" w:styleId="GridTable3-Accent2">
    <w:name w:val="Grid Table 3 Accent 2"/>
    <w:basedOn w:val="TableNormal"/>
    <w:uiPriority w:val="48"/>
    <w:rsid w:val="004C2B88"/>
    <w:pPr>
      <w:spacing w:after="0" w:line="240" w:lineRule="auto"/>
    </w:pPr>
    <w:tblPr>
      <w:tblStyleRowBandSize w:val="1"/>
      <w:tblStyleColBandSize w:val="1"/>
      <w:tblBorders>
        <w:top w:val="single" w:sz="4" w:space="0" w:color="62D2CF" w:themeColor="accent2" w:themeTint="99"/>
        <w:left w:val="single" w:sz="4" w:space="0" w:color="62D2CF" w:themeColor="accent2" w:themeTint="99"/>
        <w:bottom w:val="single" w:sz="4" w:space="0" w:color="62D2CF" w:themeColor="accent2" w:themeTint="99"/>
        <w:right w:val="single" w:sz="4" w:space="0" w:color="62D2CF" w:themeColor="accent2" w:themeTint="99"/>
        <w:insideH w:val="single" w:sz="4" w:space="0" w:color="62D2CF" w:themeColor="accent2" w:themeTint="99"/>
        <w:insideV w:val="single" w:sz="4" w:space="0" w:color="62D2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0EF" w:themeFill="accent2" w:themeFillTint="33"/>
      </w:tcPr>
    </w:tblStylePr>
    <w:tblStylePr w:type="band1Horz">
      <w:tblPr/>
      <w:tcPr>
        <w:shd w:val="clear" w:color="auto" w:fill="CAF0EF" w:themeFill="accent2" w:themeFillTint="33"/>
      </w:tcPr>
    </w:tblStylePr>
    <w:tblStylePr w:type="neCell">
      <w:tblPr/>
      <w:tcPr>
        <w:tcBorders>
          <w:bottom w:val="single" w:sz="4" w:space="0" w:color="62D2CF" w:themeColor="accent2" w:themeTint="99"/>
        </w:tcBorders>
      </w:tcPr>
    </w:tblStylePr>
    <w:tblStylePr w:type="nwCell">
      <w:tblPr/>
      <w:tcPr>
        <w:tcBorders>
          <w:bottom w:val="single" w:sz="4" w:space="0" w:color="62D2CF" w:themeColor="accent2" w:themeTint="99"/>
        </w:tcBorders>
      </w:tcPr>
    </w:tblStylePr>
    <w:tblStylePr w:type="seCell">
      <w:tblPr/>
      <w:tcPr>
        <w:tcBorders>
          <w:top w:val="single" w:sz="4" w:space="0" w:color="62D2CF" w:themeColor="accent2" w:themeTint="99"/>
        </w:tcBorders>
      </w:tcPr>
    </w:tblStylePr>
    <w:tblStylePr w:type="swCell">
      <w:tblPr/>
      <w:tcPr>
        <w:tcBorders>
          <w:top w:val="single" w:sz="4" w:space="0" w:color="62D2CF" w:themeColor="accent2" w:themeTint="99"/>
        </w:tcBorders>
      </w:tcPr>
    </w:tblStylePr>
  </w:style>
  <w:style w:type="table" w:styleId="GridTable2-Accent4">
    <w:name w:val="Grid Table 2 Accent 4"/>
    <w:basedOn w:val="TableNormal"/>
    <w:uiPriority w:val="47"/>
    <w:rsid w:val="004C2B88"/>
    <w:pPr>
      <w:spacing w:after="0" w:line="240" w:lineRule="auto"/>
    </w:pPr>
    <w:tblPr>
      <w:tblStyleRowBandSize w:val="1"/>
      <w:tblStyleColBandSize w:val="1"/>
      <w:tblBorders>
        <w:top w:val="single" w:sz="2" w:space="0" w:color="C3E9E8" w:themeColor="accent4" w:themeTint="99"/>
        <w:bottom w:val="single" w:sz="2" w:space="0" w:color="C3E9E8" w:themeColor="accent4" w:themeTint="99"/>
        <w:insideH w:val="single" w:sz="2" w:space="0" w:color="C3E9E8" w:themeColor="accent4" w:themeTint="99"/>
        <w:insideV w:val="single" w:sz="2" w:space="0" w:color="C3E9E8" w:themeColor="accent4" w:themeTint="99"/>
      </w:tblBorders>
    </w:tblPr>
    <w:tblStylePr w:type="firstRow">
      <w:rPr>
        <w:b/>
        <w:bCs/>
      </w:rPr>
      <w:tblPr/>
      <w:tcPr>
        <w:tcBorders>
          <w:top w:val="nil"/>
          <w:bottom w:val="single" w:sz="12" w:space="0" w:color="C3E9E8" w:themeColor="accent4" w:themeTint="99"/>
          <w:insideH w:val="nil"/>
          <w:insideV w:val="nil"/>
        </w:tcBorders>
        <w:shd w:val="clear" w:color="auto" w:fill="FFFFFF" w:themeFill="background1"/>
      </w:tcPr>
    </w:tblStylePr>
    <w:tblStylePr w:type="lastRow">
      <w:rPr>
        <w:b/>
        <w:bCs/>
      </w:rPr>
      <w:tblPr/>
      <w:tcPr>
        <w:tcBorders>
          <w:top w:val="double" w:sz="2" w:space="0" w:color="C3E9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7F7" w:themeFill="accent4" w:themeFillTint="33"/>
      </w:tcPr>
    </w:tblStylePr>
    <w:tblStylePr w:type="band1Horz">
      <w:tblPr/>
      <w:tcPr>
        <w:shd w:val="clear" w:color="auto" w:fill="EBF7F7" w:themeFill="accent4" w:themeFillTint="33"/>
      </w:tcPr>
    </w:tblStylePr>
  </w:style>
  <w:style w:type="table" w:styleId="ListTable3-Accent4">
    <w:name w:val="List Table 3 Accent 4"/>
    <w:basedOn w:val="TableNormal"/>
    <w:uiPriority w:val="48"/>
    <w:rsid w:val="0044090A"/>
    <w:pPr>
      <w:spacing w:after="0" w:line="240" w:lineRule="auto"/>
    </w:pPr>
    <w:tblPr>
      <w:tblStyleRowBandSize w:val="1"/>
      <w:tblStyleColBandSize w:val="1"/>
      <w:tblBorders>
        <w:top w:val="single" w:sz="4" w:space="0" w:color="9CDBD9" w:themeColor="accent4"/>
        <w:left w:val="single" w:sz="4" w:space="0" w:color="9CDBD9" w:themeColor="accent4"/>
        <w:bottom w:val="single" w:sz="4" w:space="0" w:color="9CDBD9" w:themeColor="accent4"/>
        <w:right w:val="single" w:sz="4" w:space="0" w:color="9CDBD9" w:themeColor="accent4"/>
      </w:tblBorders>
    </w:tblPr>
    <w:tblStylePr w:type="firstRow">
      <w:rPr>
        <w:b/>
        <w:bCs/>
        <w:color w:val="FFFFFF" w:themeColor="background1"/>
      </w:rPr>
      <w:tblPr/>
      <w:tcPr>
        <w:shd w:val="clear" w:color="auto" w:fill="9CDBD9" w:themeFill="accent4"/>
      </w:tcPr>
    </w:tblStylePr>
    <w:tblStylePr w:type="lastRow">
      <w:rPr>
        <w:b/>
        <w:bCs/>
      </w:rPr>
      <w:tblPr/>
      <w:tcPr>
        <w:tcBorders>
          <w:top w:val="double" w:sz="4" w:space="0" w:color="9CDBD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DBD9" w:themeColor="accent4"/>
          <w:right w:val="single" w:sz="4" w:space="0" w:color="9CDBD9" w:themeColor="accent4"/>
        </w:tcBorders>
      </w:tcPr>
    </w:tblStylePr>
    <w:tblStylePr w:type="band1Horz">
      <w:tblPr/>
      <w:tcPr>
        <w:tcBorders>
          <w:top w:val="single" w:sz="4" w:space="0" w:color="9CDBD9" w:themeColor="accent4"/>
          <w:bottom w:val="single" w:sz="4" w:space="0" w:color="9CDBD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DBD9" w:themeColor="accent4"/>
          <w:left w:val="nil"/>
        </w:tcBorders>
      </w:tcPr>
    </w:tblStylePr>
    <w:tblStylePr w:type="swCell">
      <w:tblPr/>
      <w:tcPr>
        <w:tcBorders>
          <w:top w:val="double" w:sz="4" w:space="0" w:color="9CDBD9" w:themeColor="accent4"/>
          <w:right w:val="nil"/>
        </w:tcBorders>
      </w:tcPr>
    </w:tblStylePr>
  </w:style>
  <w:style w:type="table" w:styleId="GridTable4-Accent1">
    <w:name w:val="Grid Table 4 Accent 1"/>
    <w:basedOn w:val="TableNormal"/>
    <w:uiPriority w:val="49"/>
    <w:rsid w:val="00102EC7"/>
    <w:pPr>
      <w:spacing w:after="0" w:line="240" w:lineRule="auto"/>
    </w:pPr>
    <w:tblPr>
      <w:tblStyleRowBandSize w:val="1"/>
      <w:tblStyleColBandSize w:val="1"/>
      <w:tblBorders>
        <w:top w:val="single" w:sz="4" w:space="0" w:color="CAF0EF" w:themeColor="accent2" w:themeTint="33"/>
        <w:left w:val="single" w:sz="4" w:space="0" w:color="CAF0EF" w:themeColor="accent2" w:themeTint="33"/>
        <w:bottom w:val="single" w:sz="4" w:space="0" w:color="CAF0EF" w:themeColor="accent2" w:themeTint="33"/>
        <w:right w:val="single" w:sz="4" w:space="0" w:color="CAF0EF" w:themeColor="accent2" w:themeTint="33"/>
        <w:insideH w:val="single" w:sz="4" w:space="0" w:color="CAF0EF" w:themeColor="accent2" w:themeTint="33"/>
        <w:insideV w:val="single" w:sz="4" w:space="0" w:color="CAF0EF" w:themeColor="accent2" w:themeTint="33"/>
      </w:tblBorders>
    </w:tblPr>
    <w:tblStylePr w:type="firstRow">
      <w:rPr>
        <w:b/>
        <w:bCs/>
        <w:color w:val="FFFFFF" w:themeColor="background1"/>
      </w:rPr>
      <w:tblPr/>
      <w:tcPr>
        <w:tcBorders>
          <w:top w:val="single" w:sz="4" w:space="0" w:color="006066" w:themeColor="accent1"/>
          <w:left w:val="single" w:sz="4" w:space="0" w:color="006066" w:themeColor="accent1"/>
          <w:bottom w:val="single" w:sz="4" w:space="0" w:color="006066" w:themeColor="accent1"/>
          <w:right w:val="single" w:sz="4" w:space="0" w:color="006066" w:themeColor="accent1"/>
          <w:insideH w:val="nil"/>
          <w:insideV w:val="nil"/>
        </w:tcBorders>
        <w:shd w:val="clear" w:color="auto" w:fill="006066" w:themeFill="accent1"/>
      </w:tcPr>
    </w:tblStylePr>
    <w:tblStylePr w:type="lastRow">
      <w:rPr>
        <w:b/>
        <w:bCs/>
      </w:rPr>
      <w:tblPr/>
      <w:tcPr>
        <w:tcBorders>
          <w:top w:val="double" w:sz="4" w:space="0" w:color="006066" w:themeColor="accent1"/>
        </w:tcBorders>
      </w:tcPr>
    </w:tblStylePr>
    <w:tblStylePr w:type="firstCol">
      <w:rPr>
        <w:b/>
        <w:bCs/>
      </w:rPr>
    </w:tblStylePr>
    <w:tblStylePr w:type="lastCol">
      <w:rPr>
        <w:b/>
        <w:bCs/>
      </w:rPr>
    </w:tblStylePr>
    <w:tblStylePr w:type="band1Vert">
      <w:tblPr/>
      <w:tcPr>
        <w:shd w:val="clear" w:color="auto" w:fill="DBEFED" w:themeFill="accent3" w:themeFillTint="33"/>
      </w:tcPr>
    </w:tblStylePr>
    <w:tblStylePr w:type="band1Horz">
      <w:tblPr/>
      <w:tcPr>
        <w:shd w:val="clear" w:color="auto" w:fill="DBEFED" w:themeFill="accent3" w:themeFillTint="33"/>
      </w:tcPr>
    </w:tblStylePr>
  </w:style>
  <w:style w:type="table" w:styleId="GridTable4-Accent5">
    <w:name w:val="Grid Table 4 Accent 5"/>
    <w:basedOn w:val="TableNormal"/>
    <w:uiPriority w:val="49"/>
    <w:rsid w:val="00102EC7"/>
    <w:pPr>
      <w:spacing w:after="0" w:line="240" w:lineRule="auto"/>
    </w:pPr>
    <w:tblPr>
      <w:tblStyleRowBandSize w:val="1"/>
      <w:tblStyleColBandSize w:val="1"/>
      <w:tblBorders>
        <w:top w:val="single" w:sz="4" w:space="0" w:color="FFD159" w:themeColor="accent5" w:themeTint="99"/>
        <w:left w:val="single" w:sz="4" w:space="0" w:color="FFD159" w:themeColor="accent5" w:themeTint="99"/>
        <w:bottom w:val="single" w:sz="4" w:space="0" w:color="FFD159" w:themeColor="accent5" w:themeTint="99"/>
        <w:right w:val="single" w:sz="4" w:space="0" w:color="FFD159" w:themeColor="accent5" w:themeTint="99"/>
        <w:insideH w:val="single" w:sz="4" w:space="0" w:color="FFD159" w:themeColor="accent5" w:themeTint="99"/>
        <w:insideV w:val="single" w:sz="4" w:space="0" w:color="FFD159" w:themeColor="accent5" w:themeTint="99"/>
      </w:tblBorders>
    </w:tblPr>
    <w:tblStylePr w:type="firstRow">
      <w:rPr>
        <w:b/>
        <w:bCs/>
        <w:color w:val="FFFFFF" w:themeColor="background1"/>
      </w:rPr>
      <w:tblPr/>
      <w:tcPr>
        <w:tcBorders>
          <w:top w:val="single" w:sz="4" w:space="0" w:color="EAAA00" w:themeColor="accent5"/>
          <w:left w:val="single" w:sz="4" w:space="0" w:color="EAAA00" w:themeColor="accent5"/>
          <w:bottom w:val="single" w:sz="4" w:space="0" w:color="EAAA00" w:themeColor="accent5"/>
          <w:right w:val="single" w:sz="4" w:space="0" w:color="EAAA00" w:themeColor="accent5"/>
          <w:insideH w:val="nil"/>
          <w:insideV w:val="nil"/>
        </w:tcBorders>
        <w:shd w:val="clear" w:color="auto" w:fill="EAAA00" w:themeFill="accent5"/>
      </w:tcPr>
    </w:tblStylePr>
    <w:tblStylePr w:type="lastRow">
      <w:rPr>
        <w:b/>
        <w:bCs/>
      </w:rPr>
      <w:tblPr/>
      <w:tcPr>
        <w:tcBorders>
          <w:top w:val="double" w:sz="4" w:space="0" w:color="EAAA00" w:themeColor="accent5"/>
        </w:tcBorders>
      </w:tcPr>
    </w:tblStylePr>
    <w:tblStylePr w:type="firstCol">
      <w:rPr>
        <w:b/>
        <w:bCs/>
      </w:rPr>
    </w:tblStylePr>
    <w:tblStylePr w:type="lastCol">
      <w:rPr>
        <w:b/>
        <w:bCs/>
      </w:rPr>
    </w:tblStylePr>
    <w:tblStylePr w:type="band1Vert">
      <w:tblPr/>
      <w:tcPr>
        <w:shd w:val="clear" w:color="auto" w:fill="FFEFC7" w:themeFill="accent5" w:themeFillTint="33"/>
      </w:tcPr>
    </w:tblStylePr>
    <w:tblStylePr w:type="band1Horz">
      <w:tblPr/>
      <w:tcPr>
        <w:shd w:val="clear" w:color="auto" w:fill="FFEFC7" w:themeFill="accent5" w:themeFillTint="33"/>
      </w:tcPr>
    </w:tblStylePr>
  </w:style>
  <w:style w:type="paragraph" w:customStyle="1" w:styleId="Style6">
    <w:name w:val="Style6"/>
    <w:basedOn w:val="Boxed1Text"/>
    <w:link w:val="Style6Char"/>
    <w:qFormat/>
    <w:rsid w:val="0053352C"/>
    <w:pPr>
      <w:pBdr>
        <w:top w:val="single" w:sz="4" w:space="14" w:color="278987" w:themeColor="accent2"/>
        <w:left w:val="single" w:sz="4" w:space="14" w:color="278987" w:themeColor="accent2"/>
        <w:bottom w:val="single" w:sz="4" w:space="14" w:color="278987" w:themeColor="accent2"/>
        <w:right w:val="single" w:sz="4" w:space="14" w:color="278987" w:themeColor="accent2"/>
      </w:pBdr>
      <w:shd w:val="clear" w:color="auto" w:fill="auto"/>
    </w:pPr>
    <w:rPr>
      <w:bCs/>
      <w:szCs w:val="24"/>
    </w:rPr>
  </w:style>
  <w:style w:type="character" w:customStyle="1" w:styleId="Style6Char">
    <w:name w:val="Style6 Char"/>
    <w:basedOn w:val="Boxed1TextChar"/>
    <w:link w:val="Style6"/>
    <w:rsid w:val="00FB5671"/>
    <w:rPr>
      <w:bCs/>
      <w:szCs w:val="24"/>
      <w:shd w:val="clear" w:color="auto" w:fill="DBEFED" w:themeFill="accent3" w:themeFillTint="33"/>
    </w:rPr>
  </w:style>
  <w:style w:type="paragraph" w:styleId="Quote">
    <w:name w:val="Quote"/>
    <w:basedOn w:val="Normal"/>
    <w:next w:val="Normal"/>
    <w:link w:val="QuoteChar"/>
    <w:uiPriority w:val="29"/>
    <w:qFormat/>
    <w:rsid w:val="00CA09B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09B9"/>
    <w:rPr>
      <w:i/>
      <w:iCs/>
      <w:color w:val="404040" w:themeColor="text1" w:themeTint="BF"/>
    </w:rPr>
  </w:style>
  <w:style w:type="character" w:styleId="SubtleEmphasis">
    <w:name w:val="Subtle Emphasis"/>
    <w:basedOn w:val="DefaultParagraphFont"/>
    <w:uiPriority w:val="19"/>
    <w:qFormat/>
    <w:rsid w:val="00CA09B9"/>
    <w:rPr>
      <w:i/>
      <w:iCs/>
      <w:color w:val="404040" w:themeColor="text1" w:themeTint="BF"/>
    </w:rPr>
  </w:style>
  <w:style w:type="character" w:styleId="IntenseReference">
    <w:name w:val="Intense Reference"/>
    <w:basedOn w:val="DefaultParagraphFont"/>
    <w:uiPriority w:val="32"/>
    <w:qFormat/>
    <w:rsid w:val="00CA09B9"/>
    <w:rPr>
      <w:b/>
      <w:bCs/>
      <w:smallCaps/>
      <w:color w:val="006066" w:themeColor="accent1"/>
      <w:spacing w:val="5"/>
    </w:rPr>
  </w:style>
  <w:style w:type="paragraph" w:styleId="IntenseQuote">
    <w:name w:val="Intense Quote"/>
    <w:basedOn w:val="Normal"/>
    <w:next w:val="Normal"/>
    <w:link w:val="IntenseQuoteChar"/>
    <w:uiPriority w:val="30"/>
    <w:qFormat/>
    <w:rsid w:val="00CA09B9"/>
    <w:pPr>
      <w:pBdr>
        <w:top w:val="single" w:sz="4" w:space="10" w:color="006066" w:themeColor="accent1"/>
        <w:bottom w:val="single" w:sz="4" w:space="10" w:color="006066" w:themeColor="accent1"/>
      </w:pBdr>
      <w:spacing w:before="360" w:after="360"/>
      <w:ind w:left="864" w:right="864"/>
      <w:jc w:val="center"/>
    </w:pPr>
    <w:rPr>
      <w:i/>
      <w:iCs/>
      <w:color w:val="006066" w:themeColor="accent1"/>
    </w:rPr>
  </w:style>
  <w:style w:type="character" w:customStyle="1" w:styleId="IntenseQuoteChar">
    <w:name w:val="Intense Quote Char"/>
    <w:basedOn w:val="DefaultParagraphFont"/>
    <w:link w:val="IntenseQuote"/>
    <w:uiPriority w:val="30"/>
    <w:rsid w:val="00CA09B9"/>
    <w:rPr>
      <w:i/>
      <w:iCs/>
      <w:color w:val="006066" w:themeColor="accent1"/>
    </w:rPr>
  </w:style>
  <w:style w:type="paragraph" w:styleId="NormalWeb">
    <w:name w:val="Normal (Web)"/>
    <w:basedOn w:val="Normal"/>
    <w:uiPriority w:val="99"/>
    <w:semiHidden/>
    <w:unhideWhenUsed/>
    <w:rsid w:val="00781EAF"/>
    <w:pPr>
      <w:suppressAutoHyphens w:val="0"/>
      <w:spacing w:before="100" w:beforeAutospacing="1" w:after="100" w:afterAutospacing="1"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61B6C"/>
    <w:rPr>
      <w:color w:val="9CDBD9" w:themeColor="followedHyperlink"/>
      <w:u w:val="single"/>
    </w:rPr>
  </w:style>
  <w:style w:type="character" w:customStyle="1" w:styleId="ui-provider">
    <w:name w:val="ui-provider"/>
    <w:basedOn w:val="DefaultParagraphFont"/>
    <w:rsid w:val="009C47C2"/>
  </w:style>
  <w:style w:type="paragraph" w:customStyle="1" w:styleId="Default">
    <w:name w:val="Default"/>
    <w:rsid w:val="005524B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05137">
      <w:bodyDiv w:val="1"/>
      <w:marLeft w:val="0"/>
      <w:marRight w:val="0"/>
      <w:marTop w:val="0"/>
      <w:marBottom w:val="0"/>
      <w:divBdr>
        <w:top w:val="none" w:sz="0" w:space="0" w:color="auto"/>
        <w:left w:val="none" w:sz="0" w:space="0" w:color="auto"/>
        <w:bottom w:val="none" w:sz="0" w:space="0" w:color="auto"/>
        <w:right w:val="none" w:sz="0" w:space="0" w:color="auto"/>
      </w:divBdr>
      <w:divsChild>
        <w:div w:id="138309535">
          <w:marLeft w:val="1051"/>
          <w:marRight w:val="0"/>
          <w:marTop w:val="0"/>
          <w:marBottom w:val="40"/>
          <w:divBdr>
            <w:top w:val="none" w:sz="0" w:space="0" w:color="auto"/>
            <w:left w:val="none" w:sz="0" w:space="0" w:color="auto"/>
            <w:bottom w:val="none" w:sz="0" w:space="0" w:color="auto"/>
            <w:right w:val="none" w:sz="0" w:space="0" w:color="auto"/>
          </w:divBdr>
        </w:div>
        <w:div w:id="714308786">
          <w:marLeft w:val="504"/>
          <w:marRight w:val="0"/>
          <w:marTop w:val="40"/>
          <w:marBottom w:val="40"/>
          <w:divBdr>
            <w:top w:val="none" w:sz="0" w:space="0" w:color="auto"/>
            <w:left w:val="none" w:sz="0" w:space="0" w:color="auto"/>
            <w:bottom w:val="none" w:sz="0" w:space="0" w:color="auto"/>
            <w:right w:val="none" w:sz="0" w:space="0" w:color="auto"/>
          </w:divBdr>
        </w:div>
        <w:div w:id="1041782378">
          <w:marLeft w:val="504"/>
          <w:marRight w:val="0"/>
          <w:marTop w:val="40"/>
          <w:marBottom w:val="40"/>
          <w:divBdr>
            <w:top w:val="none" w:sz="0" w:space="0" w:color="auto"/>
            <w:left w:val="none" w:sz="0" w:space="0" w:color="auto"/>
            <w:bottom w:val="none" w:sz="0" w:space="0" w:color="auto"/>
            <w:right w:val="none" w:sz="0" w:space="0" w:color="auto"/>
          </w:divBdr>
        </w:div>
        <w:div w:id="1081027839">
          <w:marLeft w:val="1051"/>
          <w:marRight w:val="0"/>
          <w:marTop w:val="0"/>
          <w:marBottom w:val="40"/>
          <w:divBdr>
            <w:top w:val="none" w:sz="0" w:space="0" w:color="auto"/>
            <w:left w:val="none" w:sz="0" w:space="0" w:color="auto"/>
            <w:bottom w:val="none" w:sz="0" w:space="0" w:color="auto"/>
            <w:right w:val="none" w:sz="0" w:space="0" w:color="auto"/>
          </w:divBdr>
        </w:div>
        <w:div w:id="1168642128">
          <w:marLeft w:val="1051"/>
          <w:marRight w:val="0"/>
          <w:marTop w:val="0"/>
          <w:marBottom w:val="40"/>
          <w:divBdr>
            <w:top w:val="none" w:sz="0" w:space="0" w:color="auto"/>
            <w:left w:val="none" w:sz="0" w:space="0" w:color="auto"/>
            <w:bottom w:val="none" w:sz="0" w:space="0" w:color="auto"/>
            <w:right w:val="none" w:sz="0" w:space="0" w:color="auto"/>
          </w:divBdr>
        </w:div>
        <w:div w:id="1325008716">
          <w:marLeft w:val="1051"/>
          <w:marRight w:val="0"/>
          <w:marTop w:val="0"/>
          <w:marBottom w:val="40"/>
          <w:divBdr>
            <w:top w:val="none" w:sz="0" w:space="0" w:color="auto"/>
            <w:left w:val="none" w:sz="0" w:space="0" w:color="auto"/>
            <w:bottom w:val="none" w:sz="0" w:space="0" w:color="auto"/>
            <w:right w:val="none" w:sz="0" w:space="0" w:color="auto"/>
          </w:divBdr>
        </w:div>
        <w:div w:id="1393700811">
          <w:marLeft w:val="1051"/>
          <w:marRight w:val="0"/>
          <w:marTop w:val="0"/>
          <w:marBottom w:val="40"/>
          <w:divBdr>
            <w:top w:val="none" w:sz="0" w:space="0" w:color="auto"/>
            <w:left w:val="none" w:sz="0" w:space="0" w:color="auto"/>
            <w:bottom w:val="none" w:sz="0" w:space="0" w:color="auto"/>
            <w:right w:val="none" w:sz="0" w:space="0" w:color="auto"/>
          </w:divBdr>
        </w:div>
        <w:div w:id="1503010542">
          <w:marLeft w:val="504"/>
          <w:marRight w:val="0"/>
          <w:marTop w:val="40"/>
          <w:marBottom w:val="40"/>
          <w:divBdr>
            <w:top w:val="none" w:sz="0" w:space="0" w:color="auto"/>
            <w:left w:val="none" w:sz="0" w:space="0" w:color="auto"/>
            <w:bottom w:val="none" w:sz="0" w:space="0" w:color="auto"/>
            <w:right w:val="none" w:sz="0" w:space="0" w:color="auto"/>
          </w:divBdr>
        </w:div>
        <w:div w:id="1517958057">
          <w:marLeft w:val="1051"/>
          <w:marRight w:val="0"/>
          <w:marTop w:val="0"/>
          <w:marBottom w:val="40"/>
          <w:divBdr>
            <w:top w:val="none" w:sz="0" w:space="0" w:color="auto"/>
            <w:left w:val="none" w:sz="0" w:space="0" w:color="auto"/>
            <w:bottom w:val="none" w:sz="0" w:space="0" w:color="auto"/>
            <w:right w:val="none" w:sz="0" w:space="0" w:color="auto"/>
          </w:divBdr>
        </w:div>
        <w:div w:id="1521624053">
          <w:marLeft w:val="504"/>
          <w:marRight w:val="0"/>
          <w:marTop w:val="40"/>
          <w:marBottom w:val="40"/>
          <w:divBdr>
            <w:top w:val="none" w:sz="0" w:space="0" w:color="auto"/>
            <w:left w:val="none" w:sz="0" w:space="0" w:color="auto"/>
            <w:bottom w:val="none" w:sz="0" w:space="0" w:color="auto"/>
            <w:right w:val="none" w:sz="0" w:space="0" w:color="auto"/>
          </w:divBdr>
        </w:div>
        <w:div w:id="1812207053">
          <w:marLeft w:val="1051"/>
          <w:marRight w:val="0"/>
          <w:marTop w:val="0"/>
          <w:marBottom w:val="40"/>
          <w:divBdr>
            <w:top w:val="none" w:sz="0" w:space="0" w:color="auto"/>
            <w:left w:val="none" w:sz="0" w:space="0" w:color="auto"/>
            <w:bottom w:val="none" w:sz="0" w:space="0" w:color="auto"/>
            <w:right w:val="none" w:sz="0" w:space="0" w:color="auto"/>
          </w:divBdr>
        </w:div>
        <w:div w:id="1837722680">
          <w:marLeft w:val="1051"/>
          <w:marRight w:val="0"/>
          <w:marTop w:val="0"/>
          <w:marBottom w:val="40"/>
          <w:divBdr>
            <w:top w:val="none" w:sz="0" w:space="0" w:color="auto"/>
            <w:left w:val="none" w:sz="0" w:space="0" w:color="auto"/>
            <w:bottom w:val="none" w:sz="0" w:space="0" w:color="auto"/>
            <w:right w:val="none" w:sz="0" w:space="0" w:color="auto"/>
          </w:divBdr>
        </w:div>
      </w:divsChild>
    </w:div>
    <w:div w:id="189151185">
      <w:bodyDiv w:val="1"/>
      <w:marLeft w:val="0"/>
      <w:marRight w:val="0"/>
      <w:marTop w:val="0"/>
      <w:marBottom w:val="0"/>
      <w:divBdr>
        <w:top w:val="none" w:sz="0" w:space="0" w:color="auto"/>
        <w:left w:val="none" w:sz="0" w:space="0" w:color="auto"/>
        <w:bottom w:val="none" w:sz="0" w:space="0" w:color="auto"/>
        <w:right w:val="none" w:sz="0" w:space="0" w:color="auto"/>
      </w:divBdr>
    </w:div>
    <w:div w:id="265966468">
      <w:bodyDiv w:val="1"/>
      <w:marLeft w:val="0"/>
      <w:marRight w:val="0"/>
      <w:marTop w:val="0"/>
      <w:marBottom w:val="0"/>
      <w:divBdr>
        <w:top w:val="none" w:sz="0" w:space="0" w:color="auto"/>
        <w:left w:val="none" w:sz="0" w:space="0" w:color="auto"/>
        <w:bottom w:val="none" w:sz="0" w:space="0" w:color="auto"/>
        <w:right w:val="none" w:sz="0" w:space="0" w:color="auto"/>
      </w:divBdr>
    </w:div>
    <w:div w:id="303778202">
      <w:bodyDiv w:val="1"/>
      <w:marLeft w:val="0"/>
      <w:marRight w:val="0"/>
      <w:marTop w:val="0"/>
      <w:marBottom w:val="0"/>
      <w:divBdr>
        <w:top w:val="none" w:sz="0" w:space="0" w:color="auto"/>
        <w:left w:val="none" w:sz="0" w:space="0" w:color="auto"/>
        <w:bottom w:val="none" w:sz="0" w:space="0" w:color="auto"/>
        <w:right w:val="none" w:sz="0" w:space="0" w:color="auto"/>
      </w:divBdr>
      <w:divsChild>
        <w:div w:id="280260985">
          <w:marLeft w:val="446"/>
          <w:marRight w:val="0"/>
          <w:marTop w:val="20"/>
          <w:marBottom w:val="80"/>
          <w:divBdr>
            <w:top w:val="none" w:sz="0" w:space="0" w:color="auto"/>
            <w:left w:val="none" w:sz="0" w:space="0" w:color="auto"/>
            <w:bottom w:val="none" w:sz="0" w:space="0" w:color="auto"/>
            <w:right w:val="none" w:sz="0" w:space="0" w:color="auto"/>
          </w:divBdr>
        </w:div>
        <w:div w:id="521014943">
          <w:marLeft w:val="446"/>
          <w:marRight w:val="0"/>
          <w:marTop w:val="20"/>
          <w:marBottom w:val="80"/>
          <w:divBdr>
            <w:top w:val="none" w:sz="0" w:space="0" w:color="auto"/>
            <w:left w:val="none" w:sz="0" w:space="0" w:color="auto"/>
            <w:bottom w:val="none" w:sz="0" w:space="0" w:color="auto"/>
            <w:right w:val="none" w:sz="0" w:space="0" w:color="auto"/>
          </w:divBdr>
        </w:div>
        <w:div w:id="1229728076">
          <w:marLeft w:val="446"/>
          <w:marRight w:val="0"/>
          <w:marTop w:val="20"/>
          <w:marBottom w:val="80"/>
          <w:divBdr>
            <w:top w:val="none" w:sz="0" w:space="0" w:color="auto"/>
            <w:left w:val="none" w:sz="0" w:space="0" w:color="auto"/>
            <w:bottom w:val="none" w:sz="0" w:space="0" w:color="auto"/>
            <w:right w:val="none" w:sz="0" w:space="0" w:color="auto"/>
          </w:divBdr>
        </w:div>
        <w:div w:id="1341814304">
          <w:marLeft w:val="446"/>
          <w:marRight w:val="0"/>
          <w:marTop w:val="20"/>
          <w:marBottom w:val="80"/>
          <w:divBdr>
            <w:top w:val="none" w:sz="0" w:space="0" w:color="auto"/>
            <w:left w:val="none" w:sz="0" w:space="0" w:color="auto"/>
            <w:bottom w:val="none" w:sz="0" w:space="0" w:color="auto"/>
            <w:right w:val="none" w:sz="0" w:space="0" w:color="auto"/>
          </w:divBdr>
        </w:div>
        <w:div w:id="1401631785">
          <w:marLeft w:val="446"/>
          <w:marRight w:val="0"/>
          <w:marTop w:val="20"/>
          <w:marBottom w:val="80"/>
          <w:divBdr>
            <w:top w:val="none" w:sz="0" w:space="0" w:color="auto"/>
            <w:left w:val="none" w:sz="0" w:space="0" w:color="auto"/>
            <w:bottom w:val="none" w:sz="0" w:space="0" w:color="auto"/>
            <w:right w:val="none" w:sz="0" w:space="0" w:color="auto"/>
          </w:divBdr>
        </w:div>
      </w:divsChild>
    </w:div>
    <w:div w:id="343826984">
      <w:bodyDiv w:val="1"/>
      <w:marLeft w:val="0"/>
      <w:marRight w:val="0"/>
      <w:marTop w:val="0"/>
      <w:marBottom w:val="0"/>
      <w:divBdr>
        <w:top w:val="none" w:sz="0" w:space="0" w:color="auto"/>
        <w:left w:val="none" w:sz="0" w:space="0" w:color="auto"/>
        <w:bottom w:val="none" w:sz="0" w:space="0" w:color="auto"/>
        <w:right w:val="none" w:sz="0" w:space="0" w:color="auto"/>
      </w:divBdr>
    </w:div>
    <w:div w:id="346254836">
      <w:bodyDiv w:val="1"/>
      <w:marLeft w:val="0"/>
      <w:marRight w:val="0"/>
      <w:marTop w:val="0"/>
      <w:marBottom w:val="0"/>
      <w:divBdr>
        <w:top w:val="none" w:sz="0" w:space="0" w:color="auto"/>
        <w:left w:val="none" w:sz="0" w:space="0" w:color="auto"/>
        <w:bottom w:val="none" w:sz="0" w:space="0" w:color="auto"/>
        <w:right w:val="none" w:sz="0" w:space="0" w:color="auto"/>
      </w:divBdr>
    </w:div>
    <w:div w:id="432483465">
      <w:bodyDiv w:val="1"/>
      <w:marLeft w:val="0"/>
      <w:marRight w:val="0"/>
      <w:marTop w:val="0"/>
      <w:marBottom w:val="0"/>
      <w:divBdr>
        <w:top w:val="none" w:sz="0" w:space="0" w:color="auto"/>
        <w:left w:val="none" w:sz="0" w:space="0" w:color="auto"/>
        <w:bottom w:val="none" w:sz="0" w:space="0" w:color="auto"/>
        <w:right w:val="none" w:sz="0" w:space="0" w:color="auto"/>
      </w:divBdr>
      <w:divsChild>
        <w:div w:id="28341531">
          <w:marLeft w:val="389"/>
          <w:marRight w:val="0"/>
          <w:marTop w:val="40"/>
          <w:marBottom w:val="40"/>
          <w:divBdr>
            <w:top w:val="none" w:sz="0" w:space="0" w:color="auto"/>
            <w:left w:val="none" w:sz="0" w:space="0" w:color="auto"/>
            <w:bottom w:val="none" w:sz="0" w:space="0" w:color="auto"/>
            <w:right w:val="none" w:sz="0" w:space="0" w:color="auto"/>
          </w:divBdr>
        </w:div>
        <w:div w:id="359014910">
          <w:marLeft w:val="389"/>
          <w:marRight w:val="0"/>
          <w:marTop w:val="40"/>
          <w:marBottom w:val="40"/>
          <w:divBdr>
            <w:top w:val="none" w:sz="0" w:space="0" w:color="auto"/>
            <w:left w:val="none" w:sz="0" w:space="0" w:color="auto"/>
            <w:bottom w:val="none" w:sz="0" w:space="0" w:color="auto"/>
            <w:right w:val="none" w:sz="0" w:space="0" w:color="auto"/>
          </w:divBdr>
        </w:div>
        <w:div w:id="393821413">
          <w:marLeft w:val="389"/>
          <w:marRight w:val="0"/>
          <w:marTop w:val="40"/>
          <w:marBottom w:val="40"/>
          <w:divBdr>
            <w:top w:val="none" w:sz="0" w:space="0" w:color="auto"/>
            <w:left w:val="none" w:sz="0" w:space="0" w:color="auto"/>
            <w:bottom w:val="none" w:sz="0" w:space="0" w:color="auto"/>
            <w:right w:val="none" w:sz="0" w:space="0" w:color="auto"/>
          </w:divBdr>
        </w:div>
        <w:div w:id="735710935">
          <w:marLeft w:val="389"/>
          <w:marRight w:val="0"/>
          <w:marTop w:val="40"/>
          <w:marBottom w:val="40"/>
          <w:divBdr>
            <w:top w:val="none" w:sz="0" w:space="0" w:color="auto"/>
            <w:left w:val="none" w:sz="0" w:space="0" w:color="auto"/>
            <w:bottom w:val="none" w:sz="0" w:space="0" w:color="auto"/>
            <w:right w:val="none" w:sz="0" w:space="0" w:color="auto"/>
          </w:divBdr>
        </w:div>
        <w:div w:id="736324514">
          <w:marLeft w:val="389"/>
          <w:marRight w:val="0"/>
          <w:marTop w:val="40"/>
          <w:marBottom w:val="40"/>
          <w:divBdr>
            <w:top w:val="none" w:sz="0" w:space="0" w:color="auto"/>
            <w:left w:val="none" w:sz="0" w:space="0" w:color="auto"/>
            <w:bottom w:val="none" w:sz="0" w:space="0" w:color="auto"/>
            <w:right w:val="none" w:sz="0" w:space="0" w:color="auto"/>
          </w:divBdr>
        </w:div>
        <w:div w:id="861163820">
          <w:marLeft w:val="389"/>
          <w:marRight w:val="0"/>
          <w:marTop w:val="40"/>
          <w:marBottom w:val="40"/>
          <w:divBdr>
            <w:top w:val="none" w:sz="0" w:space="0" w:color="auto"/>
            <w:left w:val="none" w:sz="0" w:space="0" w:color="auto"/>
            <w:bottom w:val="none" w:sz="0" w:space="0" w:color="auto"/>
            <w:right w:val="none" w:sz="0" w:space="0" w:color="auto"/>
          </w:divBdr>
        </w:div>
        <w:div w:id="902912564">
          <w:marLeft w:val="389"/>
          <w:marRight w:val="0"/>
          <w:marTop w:val="40"/>
          <w:marBottom w:val="40"/>
          <w:divBdr>
            <w:top w:val="none" w:sz="0" w:space="0" w:color="auto"/>
            <w:left w:val="none" w:sz="0" w:space="0" w:color="auto"/>
            <w:bottom w:val="none" w:sz="0" w:space="0" w:color="auto"/>
            <w:right w:val="none" w:sz="0" w:space="0" w:color="auto"/>
          </w:divBdr>
        </w:div>
        <w:div w:id="910194640">
          <w:marLeft w:val="389"/>
          <w:marRight w:val="0"/>
          <w:marTop w:val="40"/>
          <w:marBottom w:val="40"/>
          <w:divBdr>
            <w:top w:val="none" w:sz="0" w:space="0" w:color="auto"/>
            <w:left w:val="none" w:sz="0" w:space="0" w:color="auto"/>
            <w:bottom w:val="none" w:sz="0" w:space="0" w:color="auto"/>
            <w:right w:val="none" w:sz="0" w:space="0" w:color="auto"/>
          </w:divBdr>
        </w:div>
        <w:div w:id="1579169324">
          <w:marLeft w:val="389"/>
          <w:marRight w:val="0"/>
          <w:marTop w:val="40"/>
          <w:marBottom w:val="40"/>
          <w:divBdr>
            <w:top w:val="none" w:sz="0" w:space="0" w:color="auto"/>
            <w:left w:val="none" w:sz="0" w:space="0" w:color="auto"/>
            <w:bottom w:val="none" w:sz="0" w:space="0" w:color="auto"/>
            <w:right w:val="none" w:sz="0" w:space="0" w:color="auto"/>
          </w:divBdr>
        </w:div>
      </w:divsChild>
    </w:div>
    <w:div w:id="448940088">
      <w:bodyDiv w:val="1"/>
      <w:marLeft w:val="0"/>
      <w:marRight w:val="0"/>
      <w:marTop w:val="0"/>
      <w:marBottom w:val="0"/>
      <w:divBdr>
        <w:top w:val="none" w:sz="0" w:space="0" w:color="auto"/>
        <w:left w:val="none" w:sz="0" w:space="0" w:color="auto"/>
        <w:bottom w:val="none" w:sz="0" w:space="0" w:color="auto"/>
        <w:right w:val="none" w:sz="0" w:space="0" w:color="auto"/>
      </w:divBdr>
    </w:div>
    <w:div w:id="449052994">
      <w:bodyDiv w:val="1"/>
      <w:marLeft w:val="0"/>
      <w:marRight w:val="0"/>
      <w:marTop w:val="0"/>
      <w:marBottom w:val="0"/>
      <w:divBdr>
        <w:top w:val="none" w:sz="0" w:space="0" w:color="auto"/>
        <w:left w:val="none" w:sz="0" w:space="0" w:color="auto"/>
        <w:bottom w:val="none" w:sz="0" w:space="0" w:color="auto"/>
        <w:right w:val="none" w:sz="0" w:space="0" w:color="auto"/>
      </w:divBdr>
    </w:div>
    <w:div w:id="549193771">
      <w:bodyDiv w:val="1"/>
      <w:marLeft w:val="0"/>
      <w:marRight w:val="0"/>
      <w:marTop w:val="0"/>
      <w:marBottom w:val="0"/>
      <w:divBdr>
        <w:top w:val="none" w:sz="0" w:space="0" w:color="auto"/>
        <w:left w:val="none" w:sz="0" w:space="0" w:color="auto"/>
        <w:bottom w:val="none" w:sz="0" w:space="0" w:color="auto"/>
        <w:right w:val="none" w:sz="0" w:space="0" w:color="auto"/>
      </w:divBdr>
    </w:div>
    <w:div w:id="626277868">
      <w:bodyDiv w:val="1"/>
      <w:marLeft w:val="0"/>
      <w:marRight w:val="0"/>
      <w:marTop w:val="0"/>
      <w:marBottom w:val="0"/>
      <w:divBdr>
        <w:top w:val="none" w:sz="0" w:space="0" w:color="auto"/>
        <w:left w:val="none" w:sz="0" w:space="0" w:color="auto"/>
        <w:bottom w:val="none" w:sz="0" w:space="0" w:color="auto"/>
        <w:right w:val="none" w:sz="0" w:space="0" w:color="auto"/>
      </w:divBdr>
    </w:div>
    <w:div w:id="628171735">
      <w:bodyDiv w:val="1"/>
      <w:marLeft w:val="0"/>
      <w:marRight w:val="0"/>
      <w:marTop w:val="0"/>
      <w:marBottom w:val="0"/>
      <w:divBdr>
        <w:top w:val="none" w:sz="0" w:space="0" w:color="auto"/>
        <w:left w:val="none" w:sz="0" w:space="0" w:color="auto"/>
        <w:bottom w:val="none" w:sz="0" w:space="0" w:color="auto"/>
        <w:right w:val="none" w:sz="0" w:space="0" w:color="auto"/>
      </w:divBdr>
      <w:divsChild>
        <w:div w:id="1074400666">
          <w:marLeft w:val="245"/>
          <w:marRight w:val="0"/>
          <w:marTop w:val="160"/>
          <w:marBottom w:val="0"/>
          <w:divBdr>
            <w:top w:val="none" w:sz="0" w:space="0" w:color="auto"/>
            <w:left w:val="none" w:sz="0" w:space="0" w:color="auto"/>
            <w:bottom w:val="none" w:sz="0" w:space="0" w:color="auto"/>
            <w:right w:val="none" w:sz="0" w:space="0" w:color="auto"/>
          </w:divBdr>
        </w:div>
        <w:div w:id="1119837205">
          <w:marLeft w:val="1022"/>
          <w:marRight w:val="0"/>
          <w:marTop w:val="20"/>
          <w:marBottom w:val="0"/>
          <w:divBdr>
            <w:top w:val="none" w:sz="0" w:space="0" w:color="auto"/>
            <w:left w:val="none" w:sz="0" w:space="0" w:color="auto"/>
            <w:bottom w:val="none" w:sz="0" w:space="0" w:color="auto"/>
            <w:right w:val="none" w:sz="0" w:space="0" w:color="auto"/>
          </w:divBdr>
        </w:div>
        <w:div w:id="1644577622">
          <w:marLeft w:val="1022"/>
          <w:marRight w:val="0"/>
          <w:marTop w:val="20"/>
          <w:marBottom w:val="0"/>
          <w:divBdr>
            <w:top w:val="none" w:sz="0" w:space="0" w:color="auto"/>
            <w:left w:val="none" w:sz="0" w:space="0" w:color="auto"/>
            <w:bottom w:val="none" w:sz="0" w:space="0" w:color="auto"/>
            <w:right w:val="none" w:sz="0" w:space="0" w:color="auto"/>
          </w:divBdr>
        </w:div>
      </w:divsChild>
    </w:div>
    <w:div w:id="674766068">
      <w:bodyDiv w:val="1"/>
      <w:marLeft w:val="0"/>
      <w:marRight w:val="0"/>
      <w:marTop w:val="0"/>
      <w:marBottom w:val="0"/>
      <w:divBdr>
        <w:top w:val="none" w:sz="0" w:space="0" w:color="auto"/>
        <w:left w:val="none" w:sz="0" w:space="0" w:color="auto"/>
        <w:bottom w:val="none" w:sz="0" w:space="0" w:color="auto"/>
        <w:right w:val="none" w:sz="0" w:space="0" w:color="auto"/>
      </w:divBdr>
    </w:div>
    <w:div w:id="675546652">
      <w:bodyDiv w:val="1"/>
      <w:marLeft w:val="0"/>
      <w:marRight w:val="0"/>
      <w:marTop w:val="0"/>
      <w:marBottom w:val="0"/>
      <w:divBdr>
        <w:top w:val="none" w:sz="0" w:space="0" w:color="auto"/>
        <w:left w:val="none" w:sz="0" w:space="0" w:color="auto"/>
        <w:bottom w:val="none" w:sz="0" w:space="0" w:color="auto"/>
        <w:right w:val="none" w:sz="0" w:space="0" w:color="auto"/>
      </w:divBdr>
    </w:div>
    <w:div w:id="687567489">
      <w:bodyDiv w:val="1"/>
      <w:marLeft w:val="0"/>
      <w:marRight w:val="0"/>
      <w:marTop w:val="0"/>
      <w:marBottom w:val="0"/>
      <w:divBdr>
        <w:top w:val="none" w:sz="0" w:space="0" w:color="auto"/>
        <w:left w:val="none" w:sz="0" w:space="0" w:color="auto"/>
        <w:bottom w:val="none" w:sz="0" w:space="0" w:color="auto"/>
        <w:right w:val="none" w:sz="0" w:space="0" w:color="auto"/>
      </w:divBdr>
      <w:divsChild>
        <w:div w:id="47807550">
          <w:marLeft w:val="562"/>
          <w:marRight w:val="0"/>
          <w:marTop w:val="0"/>
          <w:marBottom w:val="0"/>
          <w:divBdr>
            <w:top w:val="none" w:sz="0" w:space="0" w:color="auto"/>
            <w:left w:val="none" w:sz="0" w:space="0" w:color="auto"/>
            <w:bottom w:val="none" w:sz="0" w:space="0" w:color="auto"/>
            <w:right w:val="none" w:sz="0" w:space="0" w:color="auto"/>
          </w:divBdr>
        </w:div>
        <w:div w:id="698354334">
          <w:marLeft w:val="562"/>
          <w:marRight w:val="0"/>
          <w:marTop w:val="0"/>
          <w:marBottom w:val="0"/>
          <w:divBdr>
            <w:top w:val="none" w:sz="0" w:space="0" w:color="auto"/>
            <w:left w:val="none" w:sz="0" w:space="0" w:color="auto"/>
            <w:bottom w:val="none" w:sz="0" w:space="0" w:color="auto"/>
            <w:right w:val="none" w:sz="0" w:space="0" w:color="auto"/>
          </w:divBdr>
        </w:div>
        <w:div w:id="1490752898">
          <w:marLeft w:val="562"/>
          <w:marRight w:val="0"/>
          <w:marTop w:val="0"/>
          <w:marBottom w:val="0"/>
          <w:divBdr>
            <w:top w:val="none" w:sz="0" w:space="0" w:color="auto"/>
            <w:left w:val="none" w:sz="0" w:space="0" w:color="auto"/>
            <w:bottom w:val="none" w:sz="0" w:space="0" w:color="auto"/>
            <w:right w:val="none" w:sz="0" w:space="0" w:color="auto"/>
          </w:divBdr>
        </w:div>
        <w:div w:id="1743678711">
          <w:marLeft w:val="562"/>
          <w:marRight w:val="0"/>
          <w:marTop w:val="0"/>
          <w:marBottom w:val="0"/>
          <w:divBdr>
            <w:top w:val="none" w:sz="0" w:space="0" w:color="auto"/>
            <w:left w:val="none" w:sz="0" w:space="0" w:color="auto"/>
            <w:bottom w:val="none" w:sz="0" w:space="0" w:color="auto"/>
            <w:right w:val="none" w:sz="0" w:space="0" w:color="auto"/>
          </w:divBdr>
        </w:div>
        <w:div w:id="2005164003">
          <w:marLeft w:val="562"/>
          <w:marRight w:val="0"/>
          <w:marTop w:val="0"/>
          <w:marBottom w:val="0"/>
          <w:divBdr>
            <w:top w:val="none" w:sz="0" w:space="0" w:color="auto"/>
            <w:left w:val="none" w:sz="0" w:space="0" w:color="auto"/>
            <w:bottom w:val="none" w:sz="0" w:space="0" w:color="auto"/>
            <w:right w:val="none" w:sz="0" w:space="0" w:color="auto"/>
          </w:divBdr>
        </w:div>
      </w:divsChild>
    </w:div>
    <w:div w:id="690372864">
      <w:bodyDiv w:val="1"/>
      <w:marLeft w:val="0"/>
      <w:marRight w:val="0"/>
      <w:marTop w:val="0"/>
      <w:marBottom w:val="0"/>
      <w:divBdr>
        <w:top w:val="none" w:sz="0" w:space="0" w:color="auto"/>
        <w:left w:val="none" w:sz="0" w:space="0" w:color="auto"/>
        <w:bottom w:val="none" w:sz="0" w:space="0" w:color="auto"/>
        <w:right w:val="none" w:sz="0" w:space="0" w:color="auto"/>
      </w:divBdr>
    </w:div>
    <w:div w:id="937099966">
      <w:bodyDiv w:val="1"/>
      <w:marLeft w:val="0"/>
      <w:marRight w:val="0"/>
      <w:marTop w:val="0"/>
      <w:marBottom w:val="0"/>
      <w:divBdr>
        <w:top w:val="none" w:sz="0" w:space="0" w:color="auto"/>
        <w:left w:val="none" w:sz="0" w:space="0" w:color="auto"/>
        <w:bottom w:val="none" w:sz="0" w:space="0" w:color="auto"/>
        <w:right w:val="none" w:sz="0" w:space="0" w:color="auto"/>
      </w:divBdr>
      <w:divsChild>
        <w:div w:id="426582435">
          <w:marLeft w:val="562"/>
          <w:marRight w:val="0"/>
          <w:marTop w:val="40"/>
          <w:marBottom w:val="40"/>
          <w:divBdr>
            <w:top w:val="none" w:sz="0" w:space="0" w:color="auto"/>
            <w:left w:val="none" w:sz="0" w:space="0" w:color="auto"/>
            <w:bottom w:val="none" w:sz="0" w:space="0" w:color="auto"/>
            <w:right w:val="none" w:sz="0" w:space="0" w:color="auto"/>
          </w:divBdr>
        </w:div>
        <w:div w:id="507334282">
          <w:marLeft w:val="562"/>
          <w:marRight w:val="0"/>
          <w:marTop w:val="40"/>
          <w:marBottom w:val="40"/>
          <w:divBdr>
            <w:top w:val="none" w:sz="0" w:space="0" w:color="auto"/>
            <w:left w:val="none" w:sz="0" w:space="0" w:color="auto"/>
            <w:bottom w:val="none" w:sz="0" w:space="0" w:color="auto"/>
            <w:right w:val="none" w:sz="0" w:space="0" w:color="auto"/>
          </w:divBdr>
        </w:div>
        <w:div w:id="886835312">
          <w:marLeft w:val="562"/>
          <w:marRight w:val="0"/>
          <w:marTop w:val="40"/>
          <w:marBottom w:val="40"/>
          <w:divBdr>
            <w:top w:val="none" w:sz="0" w:space="0" w:color="auto"/>
            <w:left w:val="none" w:sz="0" w:space="0" w:color="auto"/>
            <w:bottom w:val="none" w:sz="0" w:space="0" w:color="auto"/>
            <w:right w:val="none" w:sz="0" w:space="0" w:color="auto"/>
          </w:divBdr>
        </w:div>
        <w:div w:id="922833271">
          <w:marLeft w:val="562"/>
          <w:marRight w:val="0"/>
          <w:marTop w:val="40"/>
          <w:marBottom w:val="40"/>
          <w:divBdr>
            <w:top w:val="none" w:sz="0" w:space="0" w:color="auto"/>
            <w:left w:val="none" w:sz="0" w:space="0" w:color="auto"/>
            <w:bottom w:val="none" w:sz="0" w:space="0" w:color="auto"/>
            <w:right w:val="none" w:sz="0" w:space="0" w:color="auto"/>
          </w:divBdr>
        </w:div>
        <w:div w:id="1550920654">
          <w:marLeft w:val="562"/>
          <w:marRight w:val="0"/>
          <w:marTop w:val="40"/>
          <w:marBottom w:val="40"/>
          <w:divBdr>
            <w:top w:val="none" w:sz="0" w:space="0" w:color="auto"/>
            <w:left w:val="none" w:sz="0" w:space="0" w:color="auto"/>
            <w:bottom w:val="none" w:sz="0" w:space="0" w:color="auto"/>
            <w:right w:val="none" w:sz="0" w:space="0" w:color="auto"/>
          </w:divBdr>
        </w:div>
        <w:div w:id="2061324939">
          <w:marLeft w:val="562"/>
          <w:marRight w:val="0"/>
          <w:marTop w:val="40"/>
          <w:marBottom w:val="40"/>
          <w:divBdr>
            <w:top w:val="none" w:sz="0" w:space="0" w:color="auto"/>
            <w:left w:val="none" w:sz="0" w:space="0" w:color="auto"/>
            <w:bottom w:val="none" w:sz="0" w:space="0" w:color="auto"/>
            <w:right w:val="none" w:sz="0" w:space="0" w:color="auto"/>
          </w:divBdr>
        </w:div>
      </w:divsChild>
    </w:div>
    <w:div w:id="951785142">
      <w:bodyDiv w:val="1"/>
      <w:marLeft w:val="0"/>
      <w:marRight w:val="0"/>
      <w:marTop w:val="0"/>
      <w:marBottom w:val="0"/>
      <w:divBdr>
        <w:top w:val="none" w:sz="0" w:space="0" w:color="auto"/>
        <w:left w:val="none" w:sz="0" w:space="0" w:color="auto"/>
        <w:bottom w:val="none" w:sz="0" w:space="0" w:color="auto"/>
        <w:right w:val="none" w:sz="0" w:space="0" w:color="auto"/>
      </w:divBdr>
      <w:divsChild>
        <w:div w:id="647440835">
          <w:marLeft w:val="1022"/>
          <w:marRight w:val="0"/>
          <w:marTop w:val="20"/>
          <w:marBottom w:val="0"/>
          <w:divBdr>
            <w:top w:val="none" w:sz="0" w:space="0" w:color="auto"/>
            <w:left w:val="none" w:sz="0" w:space="0" w:color="auto"/>
            <w:bottom w:val="none" w:sz="0" w:space="0" w:color="auto"/>
            <w:right w:val="none" w:sz="0" w:space="0" w:color="auto"/>
          </w:divBdr>
        </w:div>
        <w:div w:id="1699817600">
          <w:marLeft w:val="1022"/>
          <w:marRight w:val="0"/>
          <w:marTop w:val="20"/>
          <w:marBottom w:val="0"/>
          <w:divBdr>
            <w:top w:val="none" w:sz="0" w:space="0" w:color="auto"/>
            <w:left w:val="none" w:sz="0" w:space="0" w:color="auto"/>
            <w:bottom w:val="none" w:sz="0" w:space="0" w:color="auto"/>
            <w:right w:val="none" w:sz="0" w:space="0" w:color="auto"/>
          </w:divBdr>
        </w:div>
        <w:div w:id="1843621680">
          <w:marLeft w:val="245"/>
          <w:marRight w:val="0"/>
          <w:marTop w:val="160"/>
          <w:marBottom w:val="0"/>
          <w:divBdr>
            <w:top w:val="none" w:sz="0" w:space="0" w:color="auto"/>
            <w:left w:val="none" w:sz="0" w:space="0" w:color="auto"/>
            <w:bottom w:val="none" w:sz="0" w:space="0" w:color="auto"/>
            <w:right w:val="none" w:sz="0" w:space="0" w:color="auto"/>
          </w:divBdr>
        </w:div>
        <w:div w:id="1860000438">
          <w:marLeft w:val="1022"/>
          <w:marRight w:val="0"/>
          <w:marTop w:val="20"/>
          <w:marBottom w:val="0"/>
          <w:divBdr>
            <w:top w:val="none" w:sz="0" w:space="0" w:color="auto"/>
            <w:left w:val="none" w:sz="0" w:space="0" w:color="auto"/>
            <w:bottom w:val="none" w:sz="0" w:space="0" w:color="auto"/>
            <w:right w:val="none" w:sz="0" w:space="0" w:color="auto"/>
          </w:divBdr>
        </w:div>
        <w:div w:id="2037389472">
          <w:marLeft w:val="1022"/>
          <w:marRight w:val="0"/>
          <w:marTop w:val="20"/>
          <w:marBottom w:val="0"/>
          <w:divBdr>
            <w:top w:val="none" w:sz="0" w:space="0" w:color="auto"/>
            <w:left w:val="none" w:sz="0" w:space="0" w:color="auto"/>
            <w:bottom w:val="none" w:sz="0" w:space="0" w:color="auto"/>
            <w:right w:val="none" w:sz="0" w:space="0" w:color="auto"/>
          </w:divBdr>
        </w:div>
      </w:divsChild>
    </w:div>
    <w:div w:id="1010907804">
      <w:bodyDiv w:val="1"/>
      <w:marLeft w:val="0"/>
      <w:marRight w:val="0"/>
      <w:marTop w:val="0"/>
      <w:marBottom w:val="0"/>
      <w:divBdr>
        <w:top w:val="none" w:sz="0" w:space="0" w:color="auto"/>
        <w:left w:val="none" w:sz="0" w:space="0" w:color="auto"/>
        <w:bottom w:val="none" w:sz="0" w:space="0" w:color="auto"/>
        <w:right w:val="none" w:sz="0" w:space="0" w:color="auto"/>
      </w:divBdr>
    </w:div>
    <w:div w:id="1013383415">
      <w:bodyDiv w:val="1"/>
      <w:marLeft w:val="0"/>
      <w:marRight w:val="0"/>
      <w:marTop w:val="0"/>
      <w:marBottom w:val="0"/>
      <w:divBdr>
        <w:top w:val="none" w:sz="0" w:space="0" w:color="auto"/>
        <w:left w:val="none" w:sz="0" w:space="0" w:color="auto"/>
        <w:bottom w:val="none" w:sz="0" w:space="0" w:color="auto"/>
        <w:right w:val="none" w:sz="0" w:space="0" w:color="auto"/>
      </w:divBdr>
      <w:divsChild>
        <w:div w:id="460728266">
          <w:marLeft w:val="1411"/>
          <w:marRight w:val="0"/>
          <w:marTop w:val="20"/>
          <w:marBottom w:val="20"/>
          <w:divBdr>
            <w:top w:val="none" w:sz="0" w:space="0" w:color="auto"/>
            <w:left w:val="none" w:sz="0" w:space="0" w:color="auto"/>
            <w:bottom w:val="none" w:sz="0" w:space="0" w:color="auto"/>
            <w:right w:val="none" w:sz="0" w:space="0" w:color="auto"/>
          </w:divBdr>
        </w:div>
        <w:div w:id="975766912">
          <w:marLeft w:val="1411"/>
          <w:marRight w:val="0"/>
          <w:marTop w:val="20"/>
          <w:marBottom w:val="20"/>
          <w:divBdr>
            <w:top w:val="none" w:sz="0" w:space="0" w:color="auto"/>
            <w:left w:val="none" w:sz="0" w:space="0" w:color="auto"/>
            <w:bottom w:val="none" w:sz="0" w:space="0" w:color="auto"/>
            <w:right w:val="none" w:sz="0" w:space="0" w:color="auto"/>
          </w:divBdr>
        </w:div>
        <w:div w:id="1089816409">
          <w:marLeft w:val="1411"/>
          <w:marRight w:val="0"/>
          <w:marTop w:val="20"/>
          <w:marBottom w:val="20"/>
          <w:divBdr>
            <w:top w:val="none" w:sz="0" w:space="0" w:color="auto"/>
            <w:left w:val="none" w:sz="0" w:space="0" w:color="auto"/>
            <w:bottom w:val="none" w:sz="0" w:space="0" w:color="auto"/>
            <w:right w:val="none" w:sz="0" w:space="0" w:color="auto"/>
          </w:divBdr>
        </w:div>
        <w:div w:id="1316450381">
          <w:marLeft w:val="1411"/>
          <w:marRight w:val="0"/>
          <w:marTop w:val="20"/>
          <w:marBottom w:val="20"/>
          <w:divBdr>
            <w:top w:val="none" w:sz="0" w:space="0" w:color="auto"/>
            <w:left w:val="none" w:sz="0" w:space="0" w:color="auto"/>
            <w:bottom w:val="none" w:sz="0" w:space="0" w:color="auto"/>
            <w:right w:val="none" w:sz="0" w:space="0" w:color="auto"/>
          </w:divBdr>
        </w:div>
        <w:div w:id="1949308220">
          <w:marLeft w:val="1411"/>
          <w:marRight w:val="0"/>
          <w:marTop w:val="20"/>
          <w:marBottom w:val="20"/>
          <w:divBdr>
            <w:top w:val="none" w:sz="0" w:space="0" w:color="auto"/>
            <w:left w:val="none" w:sz="0" w:space="0" w:color="auto"/>
            <w:bottom w:val="none" w:sz="0" w:space="0" w:color="auto"/>
            <w:right w:val="none" w:sz="0" w:space="0" w:color="auto"/>
          </w:divBdr>
        </w:div>
        <w:div w:id="1958288554">
          <w:marLeft w:val="1411"/>
          <w:marRight w:val="0"/>
          <w:marTop w:val="20"/>
          <w:marBottom w:val="20"/>
          <w:divBdr>
            <w:top w:val="none" w:sz="0" w:space="0" w:color="auto"/>
            <w:left w:val="none" w:sz="0" w:space="0" w:color="auto"/>
            <w:bottom w:val="none" w:sz="0" w:space="0" w:color="auto"/>
            <w:right w:val="none" w:sz="0" w:space="0" w:color="auto"/>
          </w:divBdr>
        </w:div>
      </w:divsChild>
    </w:div>
    <w:div w:id="1071654533">
      <w:bodyDiv w:val="1"/>
      <w:marLeft w:val="0"/>
      <w:marRight w:val="0"/>
      <w:marTop w:val="0"/>
      <w:marBottom w:val="0"/>
      <w:divBdr>
        <w:top w:val="none" w:sz="0" w:space="0" w:color="auto"/>
        <w:left w:val="none" w:sz="0" w:space="0" w:color="auto"/>
        <w:bottom w:val="none" w:sz="0" w:space="0" w:color="auto"/>
        <w:right w:val="none" w:sz="0" w:space="0" w:color="auto"/>
      </w:divBdr>
    </w:div>
    <w:div w:id="1164204133">
      <w:bodyDiv w:val="1"/>
      <w:marLeft w:val="0"/>
      <w:marRight w:val="0"/>
      <w:marTop w:val="0"/>
      <w:marBottom w:val="0"/>
      <w:divBdr>
        <w:top w:val="none" w:sz="0" w:space="0" w:color="auto"/>
        <w:left w:val="none" w:sz="0" w:space="0" w:color="auto"/>
        <w:bottom w:val="none" w:sz="0" w:space="0" w:color="auto"/>
        <w:right w:val="none" w:sz="0" w:space="0" w:color="auto"/>
      </w:divBdr>
      <w:divsChild>
        <w:div w:id="1481583047">
          <w:marLeft w:val="1022"/>
          <w:marRight w:val="0"/>
          <w:marTop w:val="20"/>
          <w:marBottom w:val="0"/>
          <w:divBdr>
            <w:top w:val="none" w:sz="0" w:space="0" w:color="auto"/>
            <w:left w:val="none" w:sz="0" w:space="0" w:color="auto"/>
            <w:bottom w:val="none" w:sz="0" w:space="0" w:color="auto"/>
            <w:right w:val="none" w:sz="0" w:space="0" w:color="auto"/>
          </w:divBdr>
        </w:div>
        <w:div w:id="1888878651">
          <w:marLeft w:val="245"/>
          <w:marRight w:val="0"/>
          <w:marTop w:val="160"/>
          <w:marBottom w:val="0"/>
          <w:divBdr>
            <w:top w:val="none" w:sz="0" w:space="0" w:color="auto"/>
            <w:left w:val="none" w:sz="0" w:space="0" w:color="auto"/>
            <w:bottom w:val="none" w:sz="0" w:space="0" w:color="auto"/>
            <w:right w:val="none" w:sz="0" w:space="0" w:color="auto"/>
          </w:divBdr>
        </w:div>
        <w:div w:id="2117863763">
          <w:marLeft w:val="1022"/>
          <w:marRight w:val="0"/>
          <w:marTop w:val="20"/>
          <w:marBottom w:val="0"/>
          <w:divBdr>
            <w:top w:val="none" w:sz="0" w:space="0" w:color="auto"/>
            <w:left w:val="none" w:sz="0" w:space="0" w:color="auto"/>
            <w:bottom w:val="none" w:sz="0" w:space="0" w:color="auto"/>
            <w:right w:val="none" w:sz="0" w:space="0" w:color="auto"/>
          </w:divBdr>
        </w:div>
      </w:divsChild>
    </w:div>
    <w:div w:id="1165626554">
      <w:bodyDiv w:val="1"/>
      <w:marLeft w:val="0"/>
      <w:marRight w:val="0"/>
      <w:marTop w:val="0"/>
      <w:marBottom w:val="0"/>
      <w:divBdr>
        <w:top w:val="none" w:sz="0" w:space="0" w:color="auto"/>
        <w:left w:val="none" w:sz="0" w:space="0" w:color="auto"/>
        <w:bottom w:val="none" w:sz="0" w:space="0" w:color="auto"/>
        <w:right w:val="none" w:sz="0" w:space="0" w:color="auto"/>
      </w:divBdr>
    </w:div>
    <w:div w:id="1179349404">
      <w:bodyDiv w:val="1"/>
      <w:marLeft w:val="0"/>
      <w:marRight w:val="0"/>
      <w:marTop w:val="0"/>
      <w:marBottom w:val="0"/>
      <w:divBdr>
        <w:top w:val="none" w:sz="0" w:space="0" w:color="auto"/>
        <w:left w:val="none" w:sz="0" w:space="0" w:color="auto"/>
        <w:bottom w:val="none" w:sz="0" w:space="0" w:color="auto"/>
        <w:right w:val="none" w:sz="0" w:space="0" w:color="auto"/>
      </w:divBdr>
    </w:div>
    <w:div w:id="1190533207">
      <w:bodyDiv w:val="1"/>
      <w:marLeft w:val="0"/>
      <w:marRight w:val="0"/>
      <w:marTop w:val="0"/>
      <w:marBottom w:val="0"/>
      <w:divBdr>
        <w:top w:val="none" w:sz="0" w:space="0" w:color="auto"/>
        <w:left w:val="none" w:sz="0" w:space="0" w:color="auto"/>
        <w:bottom w:val="none" w:sz="0" w:space="0" w:color="auto"/>
        <w:right w:val="none" w:sz="0" w:space="0" w:color="auto"/>
      </w:divBdr>
    </w:div>
    <w:div w:id="1256129479">
      <w:bodyDiv w:val="1"/>
      <w:marLeft w:val="0"/>
      <w:marRight w:val="0"/>
      <w:marTop w:val="0"/>
      <w:marBottom w:val="0"/>
      <w:divBdr>
        <w:top w:val="none" w:sz="0" w:space="0" w:color="auto"/>
        <w:left w:val="none" w:sz="0" w:space="0" w:color="auto"/>
        <w:bottom w:val="none" w:sz="0" w:space="0" w:color="auto"/>
        <w:right w:val="none" w:sz="0" w:space="0" w:color="auto"/>
      </w:divBdr>
    </w:div>
    <w:div w:id="1345673660">
      <w:bodyDiv w:val="1"/>
      <w:marLeft w:val="0"/>
      <w:marRight w:val="0"/>
      <w:marTop w:val="0"/>
      <w:marBottom w:val="0"/>
      <w:divBdr>
        <w:top w:val="none" w:sz="0" w:space="0" w:color="auto"/>
        <w:left w:val="none" w:sz="0" w:space="0" w:color="auto"/>
        <w:bottom w:val="none" w:sz="0" w:space="0" w:color="auto"/>
        <w:right w:val="none" w:sz="0" w:space="0" w:color="auto"/>
      </w:divBdr>
    </w:div>
    <w:div w:id="1363168326">
      <w:bodyDiv w:val="1"/>
      <w:marLeft w:val="0"/>
      <w:marRight w:val="0"/>
      <w:marTop w:val="0"/>
      <w:marBottom w:val="0"/>
      <w:divBdr>
        <w:top w:val="none" w:sz="0" w:space="0" w:color="auto"/>
        <w:left w:val="none" w:sz="0" w:space="0" w:color="auto"/>
        <w:bottom w:val="none" w:sz="0" w:space="0" w:color="auto"/>
        <w:right w:val="none" w:sz="0" w:space="0" w:color="auto"/>
      </w:divBdr>
      <w:divsChild>
        <w:div w:id="203493287">
          <w:marLeft w:val="360"/>
          <w:marRight w:val="0"/>
          <w:marTop w:val="0"/>
          <w:marBottom w:val="0"/>
          <w:divBdr>
            <w:top w:val="none" w:sz="0" w:space="0" w:color="auto"/>
            <w:left w:val="none" w:sz="0" w:space="0" w:color="auto"/>
            <w:bottom w:val="none" w:sz="0" w:space="0" w:color="auto"/>
            <w:right w:val="none" w:sz="0" w:space="0" w:color="auto"/>
          </w:divBdr>
        </w:div>
        <w:div w:id="973634969">
          <w:marLeft w:val="360"/>
          <w:marRight w:val="0"/>
          <w:marTop w:val="0"/>
          <w:marBottom w:val="0"/>
          <w:divBdr>
            <w:top w:val="none" w:sz="0" w:space="0" w:color="auto"/>
            <w:left w:val="none" w:sz="0" w:space="0" w:color="auto"/>
            <w:bottom w:val="none" w:sz="0" w:space="0" w:color="auto"/>
            <w:right w:val="none" w:sz="0" w:space="0" w:color="auto"/>
          </w:divBdr>
        </w:div>
        <w:div w:id="1251624693">
          <w:marLeft w:val="360"/>
          <w:marRight w:val="0"/>
          <w:marTop w:val="0"/>
          <w:marBottom w:val="0"/>
          <w:divBdr>
            <w:top w:val="none" w:sz="0" w:space="0" w:color="auto"/>
            <w:left w:val="none" w:sz="0" w:space="0" w:color="auto"/>
            <w:bottom w:val="none" w:sz="0" w:space="0" w:color="auto"/>
            <w:right w:val="none" w:sz="0" w:space="0" w:color="auto"/>
          </w:divBdr>
        </w:div>
        <w:div w:id="1964922952">
          <w:marLeft w:val="360"/>
          <w:marRight w:val="0"/>
          <w:marTop w:val="0"/>
          <w:marBottom w:val="0"/>
          <w:divBdr>
            <w:top w:val="none" w:sz="0" w:space="0" w:color="auto"/>
            <w:left w:val="none" w:sz="0" w:space="0" w:color="auto"/>
            <w:bottom w:val="none" w:sz="0" w:space="0" w:color="auto"/>
            <w:right w:val="none" w:sz="0" w:space="0" w:color="auto"/>
          </w:divBdr>
        </w:div>
      </w:divsChild>
    </w:div>
    <w:div w:id="1401094181">
      <w:bodyDiv w:val="1"/>
      <w:marLeft w:val="0"/>
      <w:marRight w:val="0"/>
      <w:marTop w:val="0"/>
      <w:marBottom w:val="0"/>
      <w:divBdr>
        <w:top w:val="none" w:sz="0" w:space="0" w:color="auto"/>
        <w:left w:val="none" w:sz="0" w:space="0" w:color="auto"/>
        <w:bottom w:val="none" w:sz="0" w:space="0" w:color="auto"/>
        <w:right w:val="none" w:sz="0" w:space="0" w:color="auto"/>
      </w:divBdr>
      <w:divsChild>
        <w:div w:id="132413596">
          <w:marLeft w:val="562"/>
          <w:marRight w:val="0"/>
          <w:marTop w:val="40"/>
          <w:marBottom w:val="60"/>
          <w:divBdr>
            <w:top w:val="none" w:sz="0" w:space="0" w:color="auto"/>
            <w:left w:val="none" w:sz="0" w:space="0" w:color="auto"/>
            <w:bottom w:val="none" w:sz="0" w:space="0" w:color="auto"/>
            <w:right w:val="none" w:sz="0" w:space="0" w:color="auto"/>
          </w:divBdr>
        </w:div>
        <w:div w:id="610669539">
          <w:marLeft w:val="562"/>
          <w:marRight w:val="0"/>
          <w:marTop w:val="40"/>
          <w:marBottom w:val="60"/>
          <w:divBdr>
            <w:top w:val="none" w:sz="0" w:space="0" w:color="auto"/>
            <w:left w:val="none" w:sz="0" w:space="0" w:color="auto"/>
            <w:bottom w:val="none" w:sz="0" w:space="0" w:color="auto"/>
            <w:right w:val="none" w:sz="0" w:space="0" w:color="auto"/>
          </w:divBdr>
        </w:div>
        <w:div w:id="1702701161">
          <w:marLeft w:val="562"/>
          <w:marRight w:val="0"/>
          <w:marTop w:val="40"/>
          <w:marBottom w:val="60"/>
          <w:divBdr>
            <w:top w:val="none" w:sz="0" w:space="0" w:color="auto"/>
            <w:left w:val="none" w:sz="0" w:space="0" w:color="auto"/>
            <w:bottom w:val="none" w:sz="0" w:space="0" w:color="auto"/>
            <w:right w:val="none" w:sz="0" w:space="0" w:color="auto"/>
          </w:divBdr>
        </w:div>
      </w:divsChild>
    </w:div>
    <w:div w:id="1414089889">
      <w:bodyDiv w:val="1"/>
      <w:marLeft w:val="0"/>
      <w:marRight w:val="0"/>
      <w:marTop w:val="0"/>
      <w:marBottom w:val="0"/>
      <w:divBdr>
        <w:top w:val="none" w:sz="0" w:space="0" w:color="auto"/>
        <w:left w:val="none" w:sz="0" w:space="0" w:color="auto"/>
        <w:bottom w:val="none" w:sz="0" w:space="0" w:color="auto"/>
        <w:right w:val="none" w:sz="0" w:space="0" w:color="auto"/>
      </w:divBdr>
    </w:div>
    <w:div w:id="1455363803">
      <w:bodyDiv w:val="1"/>
      <w:marLeft w:val="0"/>
      <w:marRight w:val="0"/>
      <w:marTop w:val="0"/>
      <w:marBottom w:val="0"/>
      <w:divBdr>
        <w:top w:val="none" w:sz="0" w:space="0" w:color="auto"/>
        <w:left w:val="none" w:sz="0" w:space="0" w:color="auto"/>
        <w:bottom w:val="none" w:sz="0" w:space="0" w:color="auto"/>
        <w:right w:val="none" w:sz="0" w:space="0" w:color="auto"/>
      </w:divBdr>
    </w:div>
    <w:div w:id="1468887860">
      <w:bodyDiv w:val="1"/>
      <w:marLeft w:val="0"/>
      <w:marRight w:val="0"/>
      <w:marTop w:val="0"/>
      <w:marBottom w:val="0"/>
      <w:divBdr>
        <w:top w:val="none" w:sz="0" w:space="0" w:color="auto"/>
        <w:left w:val="none" w:sz="0" w:space="0" w:color="auto"/>
        <w:bottom w:val="none" w:sz="0" w:space="0" w:color="auto"/>
        <w:right w:val="none" w:sz="0" w:space="0" w:color="auto"/>
      </w:divBdr>
      <w:divsChild>
        <w:div w:id="125130420">
          <w:marLeft w:val="562"/>
          <w:marRight w:val="0"/>
          <w:marTop w:val="40"/>
          <w:marBottom w:val="60"/>
          <w:divBdr>
            <w:top w:val="none" w:sz="0" w:space="0" w:color="auto"/>
            <w:left w:val="none" w:sz="0" w:space="0" w:color="auto"/>
            <w:bottom w:val="none" w:sz="0" w:space="0" w:color="auto"/>
            <w:right w:val="none" w:sz="0" w:space="0" w:color="auto"/>
          </w:divBdr>
        </w:div>
        <w:div w:id="332879177">
          <w:marLeft w:val="562"/>
          <w:marRight w:val="0"/>
          <w:marTop w:val="40"/>
          <w:marBottom w:val="60"/>
          <w:divBdr>
            <w:top w:val="none" w:sz="0" w:space="0" w:color="auto"/>
            <w:left w:val="none" w:sz="0" w:space="0" w:color="auto"/>
            <w:bottom w:val="none" w:sz="0" w:space="0" w:color="auto"/>
            <w:right w:val="none" w:sz="0" w:space="0" w:color="auto"/>
          </w:divBdr>
        </w:div>
        <w:div w:id="805050337">
          <w:marLeft w:val="562"/>
          <w:marRight w:val="0"/>
          <w:marTop w:val="40"/>
          <w:marBottom w:val="60"/>
          <w:divBdr>
            <w:top w:val="none" w:sz="0" w:space="0" w:color="auto"/>
            <w:left w:val="none" w:sz="0" w:space="0" w:color="auto"/>
            <w:bottom w:val="none" w:sz="0" w:space="0" w:color="auto"/>
            <w:right w:val="none" w:sz="0" w:space="0" w:color="auto"/>
          </w:divBdr>
        </w:div>
        <w:div w:id="1041320840">
          <w:marLeft w:val="562"/>
          <w:marRight w:val="0"/>
          <w:marTop w:val="40"/>
          <w:marBottom w:val="60"/>
          <w:divBdr>
            <w:top w:val="none" w:sz="0" w:space="0" w:color="auto"/>
            <w:left w:val="none" w:sz="0" w:space="0" w:color="auto"/>
            <w:bottom w:val="none" w:sz="0" w:space="0" w:color="auto"/>
            <w:right w:val="none" w:sz="0" w:space="0" w:color="auto"/>
          </w:divBdr>
        </w:div>
        <w:div w:id="1421835127">
          <w:marLeft w:val="562"/>
          <w:marRight w:val="0"/>
          <w:marTop w:val="40"/>
          <w:marBottom w:val="60"/>
          <w:divBdr>
            <w:top w:val="none" w:sz="0" w:space="0" w:color="auto"/>
            <w:left w:val="none" w:sz="0" w:space="0" w:color="auto"/>
            <w:bottom w:val="none" w:sz="0" w:space="0" w:color="auto"/>
            <w:right w:val="none" w:sz="0" w:space="0" w:color="auto"/>
          </w:divBdr>
        </w:div>
        <w:div w:id="1525050280">
          <w:marLeft w:val="562"/>
          <w:marRight w:val="0"/>
          <w:marTop w:val="40"/>
          <w:marBottom w:val="60"/>
          <w:divBdr>
            <w:top w:val="none" w:sz="0" w:space="0" w:color="auto"/>
            <w:left w:val="none" w:sz="0" w:space="0" w:color="auto"/>
            <w:bottom w:val="none" w:sz="0" w:space="0" w:color="auto"/>
            <w:right w:val="none" w:sz="0" w:space="0" w:color="auto"/>
          </w:divBdr>
        </w:div>
      </w:divsChild>
    </w:div>
    <w:div w:id="1582565629">
      <w:bodyDiv w:val="1"/>
      <w:marLeft w:val="0"/>
      <w:marRight w:val="0"/>
      <w:marTop w:val="0"/>
      <w:marBottom w:val="0"/>
      <w:divBdr>
        <w:top w:val="none" w:sz="0" w:space="0" w:color="auto"/>
        <w:left w:val="none" w:sz="0" w:space="0" w:color="auto"/>
        <w:bottom w:val="none" w:sz="0" w:space="0" w:color="auto"/>
        <w:right w:val="none" w:sz="0" w:space="0" w:color="auto"/>
      </w:divBdr>
      <w:divsChild>
        <w:div w:id="107815827">
          <w:marLeft w:val="346"/>
          <w:marRight w:val="0"/>
          <w:marTop w:val="20"/>
          <w:marBottom w:val="20"/>
          <w:divBdr>
            <w:top w:val="none" w:sz="0" w:space="0" w:color="auto"/>
            <w:left w:val="none" w:sz="0" w:space="0" w:color="auto"/>
            <w:bottom w:val="none" w:sz="0" w:space="0" w:color="auto"/>
            <w:right w:val="none" w:sz="0" w:space="0" w:color="auto"/>
          </w:divBdr>
        </w:div>
        <w:div w:id="1471510113">
          <w:marLeft w:val="346"/>
          <w:marRight w:val="0"/>
          <w:marTop w:val="20"/>
          <w:marBottom w:val="20"/>
          <w:divBdr>
            <w:top w:val="none" w:sz="0" w:space="0" w:color="auto"/>
            <w:left w:val="none" w:sz="0" w:space="0" w:color="auto"/>
            <w:bottom w:val="none" w:sz="0" w:space="0" w:color="auto"/>
            <w:right w:val="none" w:sz="0" w:space="0" w:color="auto"/>
          </w:divBdr>
        </w:div>
        <w:div w:id="1498299963">
          <w:marLeft w:val="346"/>
          <w:marRight w:val="0"/>
          <w:marTop w:val="20"/>
          <w:marBottom w:val="20"/>
          <w:divBdr>
            <w:top w:val="none" w:sz="0" w:space="0" w:color="auto"/>
            <w:left w:val="none" w:sz="0" w:space="0" w:color="auto"/>
            <w:bottom w:val="none" w:sz="0" w:space="0" w:color="auto"/>
            <w:right w:val="none" w:sz="0" w:space="0" w:color="auto"/>
          </w:divBdr>
        </w:div>
      </w:divsChild>
    </w:div>
    <w:div w:id="1644652121">
      <w:bodyDiv w:val="1"/>
      <w:marLeft w:val="0"/>
      <w:marRight w:val="0"/>
      <w:marTop w:val="0"/>
      <w:marBottom w:val="0"/>
      <w:divBdr>
        <w:top w:val="none" w:sz="0" w:space="0" w:color="auto"/>
        <w:left w:val="none" w:sz="0" w:space="0" w:color="auto"/>
        <w:bottom w:val="none" w:sz="0" w:space="0" w:color="auto"/>
        <w:right w:val="none" w:sz="0" w:space="0" w:color="auto"/>
      </w:divBdr>
      <w:divsChild>
        <w:div w:id="852914341">
          <w:marLeft w:val="907"/>
          <w:marRight w:val="0"/>
          <w:marTop w:val="0"/>
          <w:marBottom w:val="0"/>
          <w:divBdr>
            <w:top w:val="none" w:sz="0" w:space="0" w:color="auto"/>
            <w:left w:val="none" w:sz="0" w:space="0" w:color="auto"/>
            <w:bottom w:val="none" w:sz="0" w:space="0" w:color="auto"/>
            <w:right w:val="none" w:sz="0" w:space="0" w:color="auto"/>
          </w:divBdr>
        </w:div>
        <w:div w:id="988947451">
          <w:marLeft w:val="446"/>
          <w:marRight w:val="0"/>
          <w:marTop w:val="0"/>
          <w:marBottom w:val="0"/>
          <w:divBdr>
            <w:top w:val="none" w:sz="0" w:space="0" w:color="auto"/>
            <w:left w:val="none" w:sz="0" w:space="0" w:color="auto"/>
            <w:bottom w:val="none" w:sz="0" w:space="0" w:color="auto"/>
            <w:right w:val="none" w:sz="0" w:space="0" w:color="auto"/>
          </w:divBdr>
        </w:div>
        <w:div w:id="1080709468">
          <w:marLeft w:val="446"/>
          <w:marRight w:val="0"/>
          <w:marTop w:val="0"/>
          <w:marBottom w:val="0"/>
          <w:divBdr>
            <w:top w:val="none" w:sz="0" w:space="0" w:color="auto"/>
            <w:left w:val="none" w:sz="0" w:space="0" w:color="auto"/>
            <w:bottom w:val="none" w:sz="0" w:space="0" w:color="auto"/>
            <w:right w:val="none" w:sz="0" w:space="0" w:color="auto"/>
          </w:divBdr>
        </w:div>
        <w:div w:id="1205483920">
          <w:marLeft w:val="446"/>
          <w:marRight w:val="0"/>
          <w:marTop w:val="0"/>
          <w:marBottom w:val="0"/>
          <w:divBdr>
            <w:top w:val="none" w:sz="0" w:space="0" w:color="auto"/>
            <w:left w:val="none" w:sz="0" w:space="0" w:color="auto"/>
            <w:bottom w:val="none" w:sz="0" w:space="0" w:color="auto"/>
            <w:right w:val="none" w:sz="0" w:space="0" w:color="auto"/>
          </w:divBdr>
        </w:div>
        <w:div w:id="1444836057">
          <w:marLeft w:val="446"/>
          <w:marRight w:val="0"/>
          <w:marTop w:val="0"/>
          <w:marBottom w:val="0"/>
          <w:divBdr>
            <w:top w:val="none" w:sz="0" w:space="0" w:color="auto"/>
            <w:left w:val="none" w:sz="0" w:space="0" w:color="auto"/>
            <w:bottom w:val="none" w:sz="0" w:space="0" w:color="auto"/>
            <w:right w:val="none" w:sz="0" w:space="0" w:color="auto"/>
          </w:divBdr>
        </w:div>
        <w:div w:id="1626233459">
          <w:marLeft w:val="446"/>
          <w:marRight w:val="0"/>
          <w:marTop w:val="0"/>
          <w:marBottom w:val="0"/>
          <w:divBdr>
            <w:top w:val="none" w:sz="0" w:space="0" w:color="auto"/>
            <w:left w:val="none" w:sz="0" w:space="0" w:color="auto"/>
            <w:bottom w:val="none" w:sz="0" w:space="0" w:color="auto"/>
            <w:right w:val="none" w:sz="0" w:space="0" w:color="auto"/>
          </w:divBdr>
        </w:div>
        <w:div w:id="1919166263">
          <w:marLeft w:val="446"/>
          <w:marRight w:val="0"/>
          <w:marTop w:val="0"/>
          <w:marBottom w:val="0"/>
          <w:divBdr>
            <w:top w:val="none" w:sz="0" w:space="0" w:color="auto"/>
            <w:left w:val="none" w:sz="0" w:space="0" w:color="auto"/>
            <w:bottom w:val="none" w:sz="0" w:space="0" w:color="auto"/>
            <w:right w:val="none" w:sz="0" w:space="0" w:color="auto"/>
          </w:divBdr>
        </w:div>
        <w:div w:id="2055229400">
          <w:marLeft w:val="446"/>
          <w:marRight w:val="0"/>
          <w:marTop w:val="0"/>
          <w:marBottom w:val="0"/>
          <w:divBdr>
            <w:top w:val="none" w:sz="0" w:space="0" w:color="auto"/>
            <w:left w:val="none" w:sz="0" w:space="0" w:color="auto"/>
            <w:bottom w:val="none" w:sz="0" w:space="0" w:color="auto"/>
            <w:right w:val="none" w:sz="0" w:space="0" w:color="auto"/>
          </w:divBdr>
        </w:div>
        <w:div w:id="2136369025">
          <w:marLeft w:val="907"/>
          <w:marRight w:val="0"/>
          <w:marTop w:val="0"/>
          <w:marBottom w:val="0"/>
          <w:divBdr>
            <w:top w:val="none" w:sz="0" w:space="0" w:color="auto"/>
            <w:left w:val="none" w:sz="0" w:space="0" w:color="auto"/>
            <w:bottom w:val="none" w:sz="0" w:space="0" w:color="auto"/>
            <w:right w:val="none" w:sz="0" w:space="0" w:color="auto"/>
          </w:divBdr>
        </w:div>
      </w:divsChild>
    </w:div>
    <w:div w:id="1679037331">
      <w:bodyDiv w:val="1"/>
      <w:marLeft w:val="0"/>
      <w:marRight w:val="0"/>
      <w:marTop w:val="0"/>
      <w:marBottom w:val="0"/>
      <w:divBdr>
        <w:top w:val="none" w:sz="0" w:space="0" w:color="auto"/>
        <w:left w:val="none" w:sz="0" w:space="0" w:color="auto"/>
        <w:bottom w:val="none" w:sz="0" w:space="0" w:color="auto"/>
        <w:right w:val="none" w:sz="0" w:space="0" w:color="auto"/>
      </w:divBdr>
      <w:divsChild>
        <w:div w:id="875196326">
          <w:marLeft w:val="446"/>
          <w:marRight w:val="0"/>
          <w:marTop w:val="160"/>
          <w:marBottom w:val="0"/>
          <w:divBdr>
            <w:top w:val="none" w:sz="0" w:space="0" w:color="auto"/>
            <w:left w:val="none" w:sz="0" w:space="0" w:color="auto"/>
            <w:bottom w:val="none" w:sz="0" w:space="0" w:color="auto"/>
            <w:right w:val="none" w:sz="0" w:space="0" w:color="auto"/>
          </w:divBdr>
        </w:div>
      </w:divsChild>
    </w:div>
    <w:div w:id="1684281778">
      <w:bodyDiv w:val="1"/>
      <w:marLeft w:val="0"/>
      <w:marRight w:val="0"/>
      <w:marTop w:val="0"/>
      <w:marBottom w:val="0"/>
      <w:divBdr>
        <w:top w:val="none" w:sz="0" w:space="0" w:color="auto"/>
        <w:left w:val="none" w:sz="0" w:space="0" w:color="auto"/>
        <w:bottom w:val="none" w:sz="0" w:space="0" w:color="auto"/>
        <w:right w:val="none" w:sz="0" w:space="0" w:color="auto"/>
      </w:divBdr>
      <w:divsChild>
        <w:div w:id="21631558">
          <w:marLeft w:val="850"/>
          <w:marRight w:val="0"/>
          <w:marTop w:val="0"/>
          <w:marBottom w:val="0"/>
          <w:divBdr>
            <w:top w:val="none" w:sz="0" w:space="0" w:color="auto"/>
            <w:left w:val="none" w:sz="0" w:space="0" w:color="auto"/>
            <w:bottom w:val="none" w:sz="0" w:space="0" w:color="auto"/>
            <w:right w:val="none" w:sz="0" w:space="0" w:color="auto"/>
          </w:divBdr>
        </w:div>
        <w:div w:id="647324168">
          <w:marLeft w:val="850"/>
          <w:marRight w:val="0"/>
          <w:marTop w:val="0"/>
          <w:marBottom w:val="0"/>
          <w:divBdr>
            <w:top w:val="none" w:sz="0" w:space="0" w:color="auto"/>
            <w:left w:val="none" w:sz="0" w:space="0" w:color="auto"/>
            <w:bottom w:val="none" w:sz="0" w:space="0" w:color="auto"/>
            <w:right w:val="none" w:sz="0" w:space="0" w:color="auto"/>
          </w:divBdr>
        </w:div>
        <w:div w:id="672605904">
          <w:marLeft w:val="850"/>
          <w:marRight w:val="0"/>
          <w:marTop w:val="0"/>
          <w:marBottom w:val="240"/>
          <w:divBdr>
            <w:top w:val="none" w:sz="0" w:space="0" w:color="auto"/>
            <w:left w:val="none" w:sz="0" w:space="0" w:color="auto"/>
            <w:bottom w:val="none" w:sz="0" w:space="0" w:color="auto"/>
            <w:right w:val="none" w:sz="0" w:space="0" w:color="auto"/>
          </w:divBdr>
        </w:div>
        <w:div w:id="752899158">
          <w:marLeft w:val="850"/>
          <w:marRight w:val="0"/>
          <w:marTop w:val="0"/>
          <w:marBottom w:val="0"/>
          <w:divBdr>
            <w:top w:val="none" w:sz="0" w:space="0" w:color="auto"/>
            <w:left w:val="none" w:sz="0" w:space="0" w:color="auto"/>
            <w:bottom w:val="none" w:sz="0" w:space="0" w:color="auto"/>
            <w:right w:val="none" w:sz="0" w:space="0" w:color="auto"/>
          </w:divBdr>
        </w:div>
        <w:div w:id="1051345424">
          <w:marLeft w:val="850"/>
          <w:marRight w:val="0"/>
          <w:marTop w:val="0"/>
          <w:marBottom w:val="240"/>
          <w:divBdr>
            <w:top w:val="none" w:sz="0" w:space="0" w:color="auto"/>
            <w:left w:val="none" w:sz="0" w:space="0" w:color="auto"/>
            <w:bottom w:val="none" w:sz="0" w:space="0" w:color="auto"/>
            <w:right w:val="none" w:sz="0" w:space="0" w:color="auto"/>
          </w:divBdr>
        </w:div>
        <w:div w:id="1234969862">
          <w:marLeft w:val="850"/>
          <w:marRight w:val="0"/>
          <w:marTop w:val="0"/>
          <w:marBottom w:val="0"/>
          <w:divBdr>
            <w:top w:val="none" w:sz="0" w:space="0" w:color="auto"/>
            <w:left w:val="none" w:sz="0" w:space="0" w:color="auto"/>
            <w:bottom w:val="none" w:sz="0" w:space="0" w:color="auto"/>
            <w:right w:val="none" w:sz="0" w:space="0" w:color="auto"/>
          </w:divBdr>
        </w:div>
        <w:div w:id="1285502313">
          <w:marLeft w:val="850"/>
          <w:marRight w:val="0"/>
          <w:marTop w:val="0"/>
          <w:marBottom w:val="0"/>
          <w:divBdr>
            <w:top w:val="none" w:sz="0" w:space="0" w:color="auto"/>
            <w:left w:val="none" w:sz="0" w:space="0" w:color="auto"/>
            <w:bottom w:val="none" w:sz="0" w:space="0" w:color="auto"/>
            <w:right w:val="none" w:sz="0" w:space="0" w:color="auto"/>
          </w:divBdr>
        </w:div>
        <w:div w:id="1754617725">
          <w:marLeft w:val="850"/>
          <w:marRight w:val="0"/>
          <w:marTop w:val="0"/>
          <w:marBottom w:val="0"/>
          <w:divBdr>
            <w:top w:val="none" w:sz="0" w:space="0" w:color="auto"/>
            <w:left w:val="none" w:sz="0" w:space="0" w:color="auto"/>
            <w:bottom w:val="none" w:sz="0" w:space="0" w:color="auto"/>
            <w:right w:val="none" w:sz="0" w:space="0" w:color="auto"/>
          </w:divBdr>
        </w:div>
        <w:div w:id="1877234159">
          <w:marLeft w:val="850"/>
          <w:marRight w:val="0"/>
          <w:marTop w:val="0"/>
          <w:marBottom w:val="240"/>
          <w:divBdr>
            <w:top w:val="none" w:sz="0" w:space="0" w:color="auto"/>
            <w:left w:val="none" w:sz="0" w:space="0" w:color="auto"/>
            <w:bottom w:val="none" w:sz="0" w:space="0" w:color="auto"/>
            <w:right w:val="none" w:sz="0" w:space="0" w:color="auto"/>
          </w:divBdr>
        </w:div>
        <w:div w:id="1909025108">
          <w:marLeft w:val="850"/>
          <w:marRight w:val="0"/>
          <w:marTop w:val="0"/>
          <w:marBottom w:val="0"/>
          <w:divBdr>
            <w:top w:val="none" w:sz="0" w:space="0" w:color="auto"/>
            <w:left w:val="none" w:sz="0" w:space="0" w:color="auto"/>
            <w:bottom w:val="none" w:sz="0" w:space="0" w:color="auto"/>
            <w:right w:val="none" w:sz="0" w:space="0" w:color="auto"/>
          </w:divBdr>
        </w:div>
      </w:divsChild>
    </w:div>
    <w:div w:id="1689869786">
      <w:bodyDiv w:val="1"/>
      <w:marLeft w:val="0"/>
      <w:marRight w:val="0"/>
      <w:marTop w:val="0"/>
      <w:marBottom w:val="0"/>
      <w:divBdr>
        <w:top w:val="none" w:sz="0" w:space="0" w:color="auto"/>
        <w:left w:val="none" w:sz="0" w:space="0" w:color="auto"/>
        <w:bottom w:val="none" w:sz="0" w:space="0" w:color="auto"/>
        <w:right w:val="none" w:sz="0" w:space="0" w:color="auto"/>
      </w:divBdr>
    </w:div>
    <w:div w:id="1763261723">
      <w:bodyDiv w:val="1"/>
      <w:marLeft w:val="0"/>
      <w:marRight w:val="0"/>
      <w:marTop w:val="0"/>
      <w:marBottom w:val="0"/>
      <w:divBdr>
        <w:top w:val="none" w:sz="0" w:space="0" w:color="auto"/>
        <w:left w:val="none" w:sz="0" w:space="0" w:color="auto"/>
        <w:bottom w:val="none" w:sz="0" w:space="0" w:color="auto"/>
        <w:right w:val="none" w:sz="0" w:space="0" w:color="auto"/>
      </w:divBdr>
    </w:div>
    <w:div w:id="1806510697">
      <w:bodyDiv w:val="1"/>
      <w:marLeft w:val="0"/>
      <w:marRight w:val="0"/>
      <w:marTop w:val="0"/>
      <w:marBottom w:val="0"/>
      <w:divBdr>
        <w:top w:val="none" w:sz="0" w:space="0" w:color="auto"/>
        <w:left w:val="none" w:sz="0" w:space="0" w:color="auto"/>
        <w:bottom w:val="none" w:sz="0" w:space="0" w:color="auto"/>
        <w:right w:val="none" w:sz="0" w:space="0" w:color="auto"/>
      </w:divBdr>
    </w:div>
    <w:div w:id="1859348903">
      <w:bodyDiv w:val="1"/>
      <w:marLeft w:val="0"/>
      <w:marRight w:val="0"/>
      <w:marTop w:val="0"/>
      <w:marBottom w:val="0"/>
      <w:divBdr>
        <w:top w:val="none" w:sz="0" w:space="0" w:color="auto"/>
        <w:left w:val="none" w:sz="0" w:space="0" w:color="auto"/>
        <w:bottom w:val="none" w:sz="0" w:space="0" w:color="auto"/>
        <w:right w:val="none" w:sz="0" w:space="0" w:color="auto"/>
      </w:divBdr>
    </w:div>
    <w:div w:id="1912500141">
      <w:bodyDiv w:val="1"/>
      <w:marLeft w:val="0"/>
      <w:marRight w:val="0"/>
      <w:marTop w:val="0"/>
      <w:marBottom w:val="0"/>
      <w:divBdr>
        <w:top w:val="none" w:sz="0" w:space="0" w:color="auto"/>
        <w:left w:val="none" w:sz="0" w:space="0" w:color="auto"/>
        <w:bottom w:val="none" w:sz="0" w:space="0" w:color="auto"/>
        <w:right w:val="none" w:sz="0" w:space="0" w:color="auto"/>
      </w:divBdr>
    </w:div>
    <w:div w:id="1918129340">
      <w:bodyDiv w:val="1"/>
      <w:marLeft w:val="0"/>
      <w:marRight w:val="0"/>
      <w:marTop w:val="0"/>
      <w:marBottom w:val="0"/>
      <w:divBdr>
        <w:top w:val="none" w:sz="0" w:space="0" w:color="auto"/>
        <w:left w:val="none" w:sz="0" w:space="0" w:color="auto"/>
        <w:bottom w:val="none" w:sz="0" w:space="0" w:color="auto"/>
        <w:right w:val="none" w:sz="0" w:space="0" w:color="auto"/>
      </w:divBdr>
      <w:divsChild>
        <w:div w:id="803544882">
          <w:marLeft w:val="360"/>
          <w:marRight w:val="0"/>
          <w:marTop w:val="0"/>
          <w:marBottom w:val="0"/>
          <w:divBdr>
            <w:top w:val="none" w:sz="0" w:space="0" w:color="auto"/>
            <w:left w:val="none" w:sz="0" w:space="0" w:color="auto"/>
            <w:bottom w:val="none" w:sz="0" w:space="0" w:color="auto"/>
            <w:right w:val="none" w:sz="0" w:space="0" w:color="auto"/>
          </w:divBdr>
        </w:div>
        <w:div w:id="872424146">
          <w:marLeft w:val="1022"/>
          <w:marRight w:val="0"/>
          <w:marTop w:val="20"/>
          <w:marBottom w:val="0"/>
          <w:divBdr>
            <w:top w:val="none" w:sz="0" w:space="0" w:color="auto"/>
            <w:left w:val="none" w:sz="0" w:space="0" w:color="auto"/>
            <w:bottom w:val="none" w:sz="0" w:space="0" w:color="auto"/>
            <w:right w:val="none" w:sz="0" w:space="0" w:color="auto"/>
          </w:divBdr>
        </w:div>
        <w:div w:id="1937051849">
          <w:marLeft w:val="1022"/>
          <w:marRight w:val="0"/>
          <w:marTop w:val="20"/>
          <w:marBottom w:val="0"/>
          <w:divBdr>
            <w:top w:val="none" w:sz="0" w:space="0" w:color="auto"/>
            <w:left w:val="none" w:sz="0" w:space="0" w:color="auto"/>
            <w:bottom w:val="none" w:sz="0" w:space="0" w:color="auto"/>
            <w:right w:val="none" w:sz="0" w:space="0" w:color="auto"/>
          </w:divBdr>
        </w:div>
      </w:divsChild>
    </w:div>
    <w:div w:id="1952933667">
      <w:bodyDiv w:val="1"/>
      <w:marLeft w:val="0"/>
      <w:marRight w:val="0"/>
      <w:marTop w:val="0"/>
      <w:marBottom w:val="0"/>
      <w:divBdr>
        <w:top w:val="none" w:sz="0" w:space="0" w:color="auto"/>
        <w:left w:val="none" w:sz="0" w:space="0" w:color="auto"/>
        <w:bottom w:val="none" w:sz="0" w:space="0" w:color="auto"/>
        <w:right w:val="none" w:sz="0" w:space="0" w:color="auto"/>
      </w:divBdr>
      <w:divsChild>
        <w:div w:id="120921874">
          <w:marLeft w:val="734"/>
          <w:marRight w:val="0"/>
          <w:marTop w:val="20"/>
          <w:marBottom w:val="20"/>
          <w:divBdr>
            <w:top w:val="none" w:sz="0" w:space="0" w:color="auto"/>
            <w:left w:val="none" w:sz="0" w:space="0" w:color="auto"/>
            <w:bottom w:val="none" w:sz="0" w:space="0" w:color="auto"/>
            <w:right w:val="none" w:sz="0" w:space="0" w:color="auto"/>
          </w:divBdr>
        </w:div>
        <w:div w:id="279342849">
          <w:marLeft w:val="734"/>
          <w:marRight w:val="0"/>
          <w:marTop w:val="20"/>
          <w:marBottom w:val="20"/>
          <w:divBdr>
            <w:top w:val="none" w:sz="0" w:space="0" w:color="auto"/>
            <w:left w:val="none" w:sz="0" w:space="0" w:color="auto"/>
            <w:bottom w:val="none" w:sz="0" w:space="0" w:color="auto"/>
            <w:right w:val="none" w:sz="0" w:space="0" w:color="auto"/>
          </w:divBdr>
        </w:div>
        <w:div w:id="1039089507">
          <w:marLeft w:val="734"/>
          <w:marRight w:val="0"/>
          <w:marTop w:val="20"/>
          <w:marBottom w:val="20"/>
          <w:divBdr>
            <w:top w:val="none" w:sz="0" w:space="0" w:color="auto"/>
            <w:left w:val="none" w:sz="0" w:space="0" w:color="auto"/>
            <w:bottom w:val="none" w:sz="0" w:space="0" w:color="auto"/>
            <w:right w:val="none" w:sz="0" w:space="0" w:color="auto"/>
          </w:divBdr>
        </w:div>
        <w:div w:id="1569222930">
          <w:marLeft w:val="734"/>
          <w:marRight w:val="0"/>
          <w:marTop w:val="20"/>
          <w:marBottom w:val="20"/>
          <w:divBdr>
            <w:top w:val="none" w:sz="0" w:space="0" w:color="auto"/>
            <w:left w:val="none" w:sz="0" w:space="0" w:color="auto"/>
            <w:bottom w:val="none" w:sz="0" w:space="0" w:color="auto"/>
            <w:right w:val="none" w:sz="0" w:space="0" w:color="auto"/>
          </w:divBdr>
        </w:div>
      </w:divsChild>
    </w:div>
    <w:div w:id="2017683086">
      <w:bodyDiv w:val="1"/>
      <w:marLeft w:val="0"/>
      <w:marRight w:val="0"/>
      <w:marTop w:val="0"/>
      <w:marBottom w:val="0"/>
      <w:divBdr>
        <w:top w:val="none" w:sz="0" w:space="0" w:color="auto"/>
        <w:left w:val="none" w:sz="0" w:space="0" w:color="auto"/>
        <w:bottom w:val="none" w:sz="0" w:space="0" w:color="auto"/>
        <w:right w:val="none" w:sz="0" w:space="0" w:color="auto"/>
      </w:divBdr>
    </w:div>
    <w:div w:id="2030374840">
      <w:bodyDiv w:val="1"/>
      <w:marLeft w:val="0"/>
      <w:marRight w:val="0"/>
      <w:marTop w:val="0"/>
      <w:marBottom w:val="0"/>
      <w:divBdr>
        <w:top w:val="none" w:sz="0" w:space="0" w:color="auto"/>
        <w:left w:val="none" w:sz="0" w:space="0" w:color="auto"/>
        <w:bottom w:val="none" w:sz="0" w:space="0" w:color="auto"/>
        <w:right w:val="none" w:sz="0" w:space="0" w:color="auto"/>
      </w:divBdr>
      <w:divsChild>
        <w:div w:id="66344704">
          <w:marLeft w:val="850"/>
          <w:marRight w:val="0"/>
          <w:marTop w:val="0"/>
          <w:marBottom w:val="100"/>
          <w:divBdr>
            <w:top w:val="none" w:sz="0" w:space="0" w:color="auto"/>
            <w:left w:val="none" w:sz="0" w:space="0" w:color="auto"/>
            <w:bottom w:val="none" w:sz="0" w:space="0" w:color="auto"/>
            <w:right w:val="none" w:sz="0" w:space="0" w:color="auto"/>
          </w:divBdr>
        </w:div>
        <w:div w:id="160700358">
          <w:marLeft w:val="850"/>
          <w:marRight w:val="0"/>
          <w:marTop w:val="0"/>
          <w:marBottom w:val="100"/>
          <w:divBdr>
            <w:top w:val="none" w:sz="0" w:space="0" w:color="auto"/>
            <w:left w:val="none" w:sz="0" w:space="0" w:color="auto"/>
            <w:bottom w:val="none" w:sz="0" w:space="0" w:color="auto"/>
            <w:right w:val="none" w:sz="0" w:space="0" w:color="auto"/>
          </w:divBdr>
        </w:div>
        <w:div w:id="438183464">
          <w:marLeft w:val="850"/>
          <w:marRight w:val="0"/>
          <w:marTop w:val="0"/>
          <w:marBottom w:val="280"/>
          <w:divBdr>
            <w:top w:val="none" w:sz="0" w:space="0" w:color="auto"/>
            <w:left w:val="none" w:sz="0" w:space="0" w:color="auto"/>
            <w:bottom w:val="none" w:sz="0" w:space="0" w:color="auto"/>
            <w:right w:val="none" w:sz="0" w:space="0" w:color="auto"/>
          </w:divBdr>
        </w:div>
        <w:div w:id="438529618">
          <w:marLeft w:val="850"/>
          <w:marRight w:val="0"/>
          <w:marTop w:val="0"/>
          <w:marBottom w:val="280"/>
          <w:divBdr>
            <w:top w:val="none" w:sz="0" w:space="0" w:color="auto"/>
            <w:left w:val="none" w:sz="0" w:space="0" w:color="auto"/>
            <w:bottom w:val="none" w:sz="0" w:space="0" w:color="auto"/>
            <w:right w:val="none" w:sz="0" w:space="0" w:color="auto"/>
          </w:divBdr>
        </w:div>
        <w:div w:id="440876510">
          <w:marLeft w:val="850"/>
          <w:marRight w:val="0"/>
          <w:marTop w:val="0"/>
          <w:marBottom w:val="100"/>
          <w:divBdr>
            <w:top w:val="none" w:sz="0" w:space="0" w:color="auto"/>
            <w:left w:val="none" w:sz="0" w:space="0" w:color="auto"/>
            <w:bottom w:val="none" w:sz="0" w:space="0" w:color="auto"/>
            <w:right w:val="none" w:sz="0" w:space="0" w:color="auto"/>
          </w:divBdr>
        </w:div>
        <w:div w:id="1067726468">
          <w:marLeft w:val="850"/>
          <w:marRight w:val="0"/>
          <w:marTop w:val="0"/>
          <w:marBottom w:val="100"/>
          <w:divBdr>
            <w:top w:val="none" w:sz="0" w:space="0" w:color="auto"/>
            <w:left w:val="none" w:sz="0" w:space="0" w:color="auto"/>
            <w:bottom w:val="none" w:sz="0" w:space="0" w:color="auto"/>
            <w:right w:val="none" w:sz="0" w:space="0" w:color="auto"/>
          </w:divBdr>
        </w:div>
        <w:div w:id="1112213253">
          <w:marLeft w:val="850"/>
          <w:marRight w:val="0"/>
          <w:marTop w:val="0"/>
          <w:marBottom w:val="100"/>
          <w:divBdr>
            <w:top w:val="none" w:sz="0" w:space="0" w:color="auto"/>
            <w:left w:val="none" w:sz="0" w:space="0" w:color="auto"/>
            <w:bottom w:val="none" w:sz="0" w:space="0" w:color="auto"/>
            <w:right w:val="none" w:sz="0" w:space="0" w:color="auto"/>
          </w:divBdr>
        </w:div>
        <w:div w:id="1849365625">
          <w:marLeft w:val="850"/>
          <w:marRight w:val="0"/>
          <w:marTop w:val="0"/>
          <w:marBottom w:val="280"/>
          <w:divBdr>
            <w:top w:val="none" w:sz="0" w:space="0" w:color="auto"/>
            <w:left w:val="none" w:sz="0" w:space="0" w:color="auto"/>
            <w:bottom w:val="none" w:sz="0" w:space="0" w:color="auto"/>
            <w:right w:val="none" w:sz="0" w:space="0" w:color="auto"/>
          </w:divBdr>
        </w:div>
      </w:divsChild>
    </w:div>
    <w:div w:id="2051033075">
      <w:bodyDiv w:val="1"/>
      <w:marLeft w:val="0"/>
      <w:marRight w:val="0"/>
      <w:marTop w:val="0"/>
      <w:marBottom w:val="0"/>
      <w:divBdr>
        <w:top w:val="none" w:sz="0" w:space="0" w:color="auto"/>
        <w:left w:val="none" w:sz="0" w:space="0" w:color="auto"/>
        <w:bottom w:val="none" w:sz="0" w:space="0" w:color="auto"/>
        <w:right w:val="none" w:sz="0" w:space="0" w:color="auto"/>
      </w:divBdr>
      <w:divsChild>
        <w:div w:id="383482954">
          <w:marLeft w:val="562"/>
          <w:marRight w:val="0"/>
          <w:marTop w:val="40"/>
          <w:marBottom w:val="40"/>
          <w:divBdr>
            <w:top w:val="none" w:sz="0" w:space="0" w:color="auto"/>
            <w:left w:val="none" w:sz="0" w:space="0" w:color="auto"/>
            <w:bottom w:val="none" w:sz="0" w:space="0" w:color="auto"/>
            <w:right w:val="none" w:sz="0" w:space="0" w:color="auto"/>
          </w:divBdr>
        </w:div>
        <w:div w:id="457602006">
          <w:marLeft w:val="562"/>
          <w:marRight w:val="0"/>
          <w:marTop w:val="40"/>
          <w:marBottom w:val="40"/>
          <w:divBdr>
            <w:top w:val="none" w:sz="0" w:space="0" w:color="auto"/>
            <w:left w:val="none" w:sz="0" w:space="0" w:color="auto"/>
            <w:bottom w:val="none" w:sz="0" w:space="0" w:color="auto"/>
            <w:right w:val="none" w:sz="0" w:space="0" w:color="auto"/>
          </w:divBdr>
        </w:div>
        <w:div w:id="508833652">
          <w:marLeft w:val="562"/>
          <w:marRight w:val="0"/>
          <w:marTop w:val="40"/>
          <w:marBottom w:val="40"/>
          <w:divBdr>
            <w:top w:val="none" w:sz="0" w:space="0" w:color="auto"/>
            <w:left w:val="none" w:sz="0" w:space="0" w:color="auto"/>
            <w:bottom w:val="none" w:sz="0" w:space="0" w:color="auto"/>
            <w:right w:val="none" w:sz="0" w:space="0" w:color="auto"/>
          </w:divBdr>
        </w:div>
        <w:div w:id="567693638">
          <w:marLeft w:val="562"/>
          <w:marRight w:val="0"/>
          <w:marTop w:val="40"/>
          <w:marBottom w:val="40"/>
          <w:divBdr>
            <w:top w:val="none" w:sz="0" w:space="0" w:color="auto"/>
            <w:left w:val="none" w:sz="0" w:space="0" w:color="auto"/>
            <w:bottom w:val="none" w:sz="0" w:space="0" w:color="auto"/>
            <w:right w:val="none" w:sz="0" w:space="0" w:color="auto"/>
          </w:divBdr>
        </w:div>
        <w:div w:id="1081678369">
          <w:marLeft w:val="562"/>
          <w:marRight w:val="0"/>
          <w:marTop w:val="40"/>
          <w:marBottom w:val="40"/>
          <w:divBdr>
            <w:top w:val="none" w:sz="0" w:space="0" w:color="auto"/>
            <w:left w:val="none" w:sz="0" w:space="0" w:color="auto"/>
            <w:bottom w:val="none" w:sz="0" w:space="0" w:color="auto"/>
            <w:right w:val="none" w:sz="0" w:space="0" w:color="auto"/>
          </w:divBdr>
        </w:div>
        <w:div w:id="1610549254">
          <w:marLeft w:val="562"/>
          <w:marRight w:val="0"/>
          <w:marTop w:val="40"/>
          <w:marBottom w:val="40"/>
          <w:divBdr>
            <w:top w:val="none" w:sz="0" w:space="0" w:color="auto"/>
            <w:left w:val="none" w:sz="0" w:space="0" w:color="auto"/>
            <w:bottom w:val="none" w:sz="0" w:space="0" w:color="auto"/>
            <w:right w:val="none" w:sz="0" w:space="0" w:color="auto"/>
          </w:divBdr>
        </w:div>
      </w:divsChild>
    </w:div>
    <w:div w:id="2059625620">
      <w:bodyDiv w:val="1"/>
      <w:marLeft w:val="0"/>
      <w:marRight w:val="0"/>
      <w:marTop w:val="0"/>
      <w:marBottom w:val="0"/>
      <w:divBdr>
        <w:top w:val="none" w:sz="0" w:space="0" w:color="auto"/>
        <w:left w:val="none" w:sz="0" w:space="0" w:color="auto"/>
        <w:bottom w:val="none" w:sz="0" w:space="0" w:color="auto"/>
        <w:right w:val="none" w:sz="0" w:space="0" w:color="auto"/>
      </w:divBdr>
    </w:div>
    <w:div w:id="2079209831">
      <w:bodyDiv w:val="1"/>
      <w:marLeft w:val="0"/>
      <w:marRight w:val="0"/>
      <w:marTop w:val="0"/>
      <w:marBottom w:val="0"/>
      <w:divBdr>
        <w:top w:val="none" w:sz="0" w:space="0" w:color="auto"/>
        <w:left w:val="none" w:sz="0" w:space="0" w:color="auto"/>
        <w:bottom w:val="none" w:sz="0" w:space="0" w:color="auto"/>
        <w:right w:val="none" w:sz="0" w:space="0" w:color="auto"/>
      </w:divBdr>
    </w:div>
    <w:div w:id="2096241511">
      <w:bodyDiv w:val="1"/>
      <w:marLeft w:val="0"/>
      <w:marRight w:val="0"/>
      <w:marTop w:val="0"/>
      <w:marBottom w:val="0"/>
      <w:divBdr>
        <w:top w:val="none" w:sz="0" w:space="0" w:color="auto"/>
        <w:left w:val="none" w:sz="0" w:space="0" w:color="auto"/>
        <w:bottom w:val="none" w:sz="0" w:space="0" w:color="auto"/>
        <w:right w:val="none" w:sz="0" w:space="0" w:color="auto"/>
      </w:divBdr>
    </w:div>
    <w:div w:id="2114284220">
      <w:bodyDiv w:val="1"/>
      <w:marLeft w:val="0"/>
      <w:marRight w:val="0"/>
      <w:marTop w:val="0"/>
      <w:marBottom w:val="0"/>
      <w:divBdr>
        <w:top w:val="none" w:sz="0" w:space="0" w:color="auto"/>
        <w:left w:val="none" w:sz="0" w:space="0" w:color="auto"/>
        <w:bottom w:val="none" w:sz="0" w:space="0" w:color="auto"/>
        <w:right w:val="none" w:sz="0" w:space="0" w:color="auto"/>
      </w:divBdr>
    </w:div>
    <w:div w:id="2133858638">
      <w:bodyDiv w:val="1"/>
      <w:marLeft w:val="0"/>
      <w:marRight w:val="0"/>
      <w:marTop w:val="0"/>
      <w:marBottom w:val="0"/>
      <w:divBdr>
        <w:top w:val="none" w:sz="0" w:space="0" w:color="auto"/>
        <w:left w:val="none" w:sz="0" w:space="0" w:color="auto"/>
        <w:bottom w:val="none" w:sz="0" w:space="0" w:color="auto"/>
        <w:right w:val="none" w:sz="0" w:space="0" w:color="auto"/>
      </w:divBdr>
      <w:divsChild>
        <w:div w:id="374164897">
          <w:marLeft w:val="389"/>
          <w:marRight w:val="0"/>
          <w:marTop w:val="0"/>
          <w:marBottom w:val="0"/>
          <w:divBdr>
            <w:top w:val="none" w:sz="0" w:space="0" w:color="auto"/>
            <w:left w:val="none" w:sz="0" w:space="0" w:color="auto"/>
            <w:bottom w:val="none" w:sz="0" w:space="0" w:color="auto"/>
            <w:right w:val="none" w:sz="0" w:space="0" w:color="auto"/>
          </w:divBdr>
        </w:div>
        <w:div w:id="475726066">
          <w:marLeft w:val="389"/>
          <w:marRight w:val="0"/>
          <w:marTop w:val="0"/>
          <w:marBottom w:val="0"/>
          <w:divBdr>
            <w:top w:val="none" w:sz="0" w:space="0" w:color="auto"/>
            <w:left w:val="none" w:sz="0" w:space="0" w:color="auto"/>
            <w:bottom w:val="none" w:sz="0" w:space="0" w:color="auto"/>
            <w:right w:val="none" w:sz="0" w:space="0" w:color="auto"/>
          </w:divBdr>
        </w:div>
        <w:div w:id="689792828">
          <w:marLeft w:val="389"/>
          <w:marRight w:val="0"/>
          <w:marTop w:val="0"/>
          <w:marBottom w:val="0"/>
          <w:divBdr>
            <w:top w:val="none" w:sz="0" w:space="0" w:color="auto"/>
            <w:left w:val="none" w:sz="0" w:space="0" w:color="auto"/>
            <w:bottom w:val="none" w:sz="0" w:space="0" w:color="auto"/>
            <w:right w:val="none" w:sz="0" w:space="0" w:color="auto"/>
          </w:divBdr>
        </w:div>
        <w:div w:id="874661176">
          <w:marLeft w:val="389"/>
          <w:marRight w:val="0"/>
          <w:marTop w:val="0"/>
          <w:marBottom w:val="0"/>
          <w:divBdr>
            <w:top w:val="none" w:sz="0" w:space="0" w:color="auto"/>
            <w:left w:val="none" w:sz="0" w:space="0" w:color="auto"/>
            <w:bottom w:val="none" w:sz="0" w:space="0" w:color="auto"/>
            <w:right w:val="none" w:sz="0" w:space="0" w:color="auto"/>
          </w:divBdr>
        </w:div>
        <w:div w:id="1037049109">
          <w:marLeft w:val="389"/>
          <w:marRight w:val="0"/>
          <w:marTop w:val="0"/>
          <w:marBottom w:val="0"/>
          <w:divBdr>
            <w:top w:val="none" w:sz="0" w:space="0" w:color="auto"/>
            <w:left w:val="none" w:sz="0" w:space="0" w:color="auto"/>
            <w:bottom w:val="none" w:sz="0" w:space="0" w:color="auto"/>
            <w:right w:val="none" w:sz="0" w:space="0" w:color="auto"/>
          </w:divBdr>
        </w:div>
        <w:div w:id="1476530598">
          <w:marLeft w:val="38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finance.gov.au/government/procurement/commonwealth-procurement-rules" TargetMode="External"/><Relationship Id="rId26" Type="http://schemas.openxmlformats.org/officeDocument/2006/relationships/hyperlink" Target="https://sellingtogov.finance.gov.au/" TargetMode="External"/><Relationship Id="rId3" Type="http://schemas.openxmlformats.org/officeDocument/2006/relationships/customXml" Target="../customXml/item3.xml"/><Relationship Id="rId21" Type="http://schemas.openxmlformats.org/officeDocument/2006/relationships/hyperlink" Target="https://www.finance.gov.au/government/procurement/commonwealth-contracting-suite-ccs"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help.tenders.gov.au/" TargetMode="External"/><Relationship Id="rId25" Type="http://schemas.openxmlformats.org/officeDocument/2006/relationships/hyperlink" Target="https://www.tenders.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enders.gov.au/" TargetMode="External"/><Relationship Id="rId20" Type="http://schemas.openxmlformats.org/officeDocument/2006/relationships/hyperlink" Target="https://sellingtogov.finance.gov.au/faq/understand-panel-arrangements" TargetMode="External"/><Relationship Id="rId29" Type="http://schemas.openxmlformats.org/officeDocument/2006/relationships/hyperlink" Target="https://sellingtogov.finance.gov.au/feedback/supplier-tender-respons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inance.gov.au/government/procurement/commonwealth-contracting-suite-ccs"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ellingtogov.finance.gov.au/" TargetMode="External"/><Relationship Id="rId23" Type="http://schemas.openxmlformats.org/officeDocument/2006/relationships/hyperlink" Target="mailto:sellingtogov@finance.gov.au" TargetMode="External"/><Relationship Id="rId28" Type="http://schemas.openxmlformats.org/officeDocument/2006/relationships/hyperlink" Target="https://help.tenders.gov.au/" TargetMode="External"/><Relationship Id="rId10" Type="http://schemas.openxmlformats.org/officeDocument/2006/relationships/webSettings" Target="webSettings.xml"/><Relationship Id="rId19" Type="http://schemas.openxmlformats.org/officeDocument/2006/relationships/hyperlink" Target="https://sellingtogov.finance.gov.au/faq/understand-panel-arrangement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llingtogov.finance.gov.au/" TargetMode="External"/><Relationship Id="rId22" Type="http://schemas.openxmlformats.org/officeDocument/2006/relationships/hyperlink" Target="https://sellingtogov.finance.gov.au/faq/minimum-requirements" TargetMode="External"/><Relationship Id="rId27" Type="http://schemas.openxmlformats.org/officeDocument/2006/relationships/hyperlink" Target="http://sellingtogov.finance.gov.au/" TargetMode="External"/><Relationship Id="rId30" Type="http://schemas.openxmlformats.org/officeDocument/2006/relationships/hyperlink" Target="http://sellingtogov.finance.gov.au/contact-us" TargetMode="External"/><Relationship Id="rId8" Type="http://schemas.openxmlformats.org/officeDocument/2006/relationships/styles" Target="styles.xml"/></Relationships>
</file>

<file path=word/theme/theme1.xml><?xml version="1.0" encoding="utf-8"?>
<a:theme xmlns:a="http://schemas.openxmlformats.org/drawingml/2006/main" name="Finance 1 Blue">
  <a:themeElements>
    <a:clrScheme name="StG">
      <a:dk1>
        <a:sysClr val="windowText" lastClr="000000"/>
      </a:dk1>
      <a:lt1>
        <a:sysClr val="window" lastClr="FFFFFF"/>
      </a:lt1>
      <a:dk2>
        <a:srgbClr val="265659"/>
      </a:dk2>
      <a:lt2>
        <a:srgbClr val="E7E6E6"/>
      </a:lt2>
      <a:accent1>
        <a:srgbClr val="006066"/>
      </a:accent1>
      <a:accent2>
        <a:srgbClr val="278987"/>
      </a:accent2>
      <a:accent3>
        <a:srgbClr val="4EB1A7"/>
      </a:accent3>
      <a:accent4>
        <a:srgbClr val="9CDBD9"/>
      </a:accent4>
      <a:accent5>
        <a:srgbClr val="EAAA00"/>
      </a:accent5>
      <a:accent6>
        <a:srgbClr val="FF9900"/>
      </a:accent6>
      <a:hlink>
        <a:srgbClr val="278987"/>
      </a:hlink>
      <a:folHlink>
        <a:srgbClr val="9CDBD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53D3FF1AD7ADC74EBD9711F94A8239F3" ma:contentTypeVersion="34" ma:contentTypeDescription="Create a new document." ma:contentTypeScope="" ma:versionID="f5ab123bde3b4525d4afb8192cd71a56">
  <xsd:schema xmlns:xsd="http://www.w3.org/2001/XMLSchema" xmlns:xs="http://www.w3.org/2001/XMLSchema" xmlns:p="http://schemas.microsoft.com/office/2006/metadata/properties" xmlns:ns2="a334ba3b-e131-42d3-95f3-2728f5a41884" xmlns:ns3="12e184e7-ab40-4187-8586-16552e3c8a9e" xmlns:ns4="6a7e9632-768a-49bf-85ac-c69233ab2a52" targetNamespace="http://schemas.microsoft.com/office/2006/metadata/properties" ma:root="true" ma:fieldsID="dc22ea17315fde3d1b81abe0e7681bee" ns2:_="" ns3:_="" ns4:_="">
    <xsd:import namespace="a334ba3b-e131-42d3-95f3-2728f5a41884"/>
    <xsd:import namespace="12e184e7-ab40-4187-8586-16552e3c8a9e"/>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3:MediaServiceMetadata" minOccurs="0"/>
                <xsd:element ref="ns3:MediaServiceObjectDetectorVersions" minOccurs="0"/>
                <xsd:element ref="ns3: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8ec048cd-256a-4795-8d4c-caec0b556fda}"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60;#Procurement Capability|4850f830-1d7b-481a-937c-82de5172314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ec048cd-256a-4795-8d4c-caec0b556fda}"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e184e7-ab40-4187-8586-16552e3c8a9e"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Metadata" ma:index="32" nillable="true" ma:displayName="MediaServiceMetadata" ma:hidden="true" ma:internalName="MediaService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_dlc_DocId" ma:index="35" nillable="true" ma:displayName="Document ID Value" ma:description="The value of the document ID assigned to this item." ma:indexed="true"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e184e7-ab40-4187-8586-16552e3c8a9e">
      <Terms xmlns="http://schemas.microsoft.com/office/infopath/2007/PartnerControls"/>
    </lcf76f155ced4ddcb4097134ff3c332f>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260</Value>
      <Value>18</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Procurement Capability</TermName>
          <TermId xmlns="http://schemas.microsoft.com/office/infopath/2007/PartnerControls">4850f830-1d7b-481a-937c-82de51723148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FIN11777-2028659454-6372</_dlc_DocId>
    <_dlc_DocIdUrl xmlns="6a7e9632-768a-49bf-85ac-c69233ab2a52">
      <Url>https://financegovau.sharepoint.com/sites/M365_DoF_51011777/_layouts/15/DocIdRedir.aspx?ID=FIN11777-2028659454-6372</Url>
      <Description>FIN11777-2028659454-6372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4b2c377-c74f-46b8-b62e-9cefa93d8fc8" ContentTypeId="0x010100B7B479F47583304BA8B631462CC772D7" PreviousValue="true"/>
</file>

<file path=customXml/itemProps1.xml><?xml version="1.0" encoding="utf-8"?>
<ds:datastoreItem xmlns:ds="http://schemas.openxmlformats.org/officeDocument/2006/customXml" ds:itemID="{476FB5B3-905B-4C5C-AA8D-F020A17FA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12e184e7-ab40-4187-8586-16552e3c8a9e"/>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30738-512D-4F81-9CE5-7FCF090FAF86}">
  <ds:schemaRefs>
    <ds:schemaRef ds:uri="12e184e7-ab40-4187-8586-16552e3c8a9e"/>
    <ds:schemaRef ds:uri="a334ba3b-e131-42d3-95f3-2728f5a41884"/>
    <ds:schemaRef ds:uri="http://purl.org/dc/elements/1.1/"/>
    <ds:schemaRef ds:uri="http://purl.org/dc/terms/"/>
    <ds:schemaRef ds:uri="http://purl.org/dc/dcmitype/"/>
    <ds:schemaRef ds:uri="http://www.w3.org/XML/1998/namespace"/>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528552B-E986-4490-9182-4360E161515B}">
  <ds:schemaRefs>
    <ds:schemaRef ds:uri="http://schemas.openxmlformats.org/officeDocument/2006/bibliography"/>
  </ds:schemaRefs>
</ds:datastoreItem>
</file>

<file path=customXml/itemProps4.xml><?xml version="1.0" encoding="utf-8"?>
<ds:datastoreItem xmlns:ds="http://schemas.openxmlformats.org/officeDocument/2006/customXml" ds:itemID="{5E5A7F3F-5735-409F-BE45-5EBB9F3CB42F}">
  <ds:schemaRefs>
    <ds:schemaRef ds:uri="http://schemas.microsoft.com/sharepoint/v3/contenttype/forms"/>
  </ds:schemaRefs>
</ds:datastoreItem>
</file>

<file path=customXml/itemProps5.xml><?xml version="1.0" encoding="utf-8"?>
<ds:datastoreItem xmlns:ds="http://schemas.openxmlformats.org/officeDocument/2006/customXml" ds:itemID="{94801615-AC2C-4495-8DA0-D29F3267CA53}">
  <ds:schemaRefs>
    <ds:schemaRef ds:uri="http://schemas.microsoft.com/sharepoint/events"/>
  </ds:schemaRefs>
</ds:datastoreItem>
</file>

<file path=customXml/itemProps6.xml><?xml version="1.0" encoding="utf-8"?>
<ds:datastoreItem xmlns:ds="http://schemas.openxmlformats.org/officeDocument/2006/customXml" ds:itemID="{CC4FDCA7-CD6E-4834-8361-7E91E33426B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6125</Words>
  <Characters>33830</Characters>
  <Application>Microsoft Office Word</Application>
  <DocSecurity>4</DocSecurity>
  <Lines>699</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2025-07-18T05:18:00Z</dcterms:created>
  <dcterms:modified xsi:type="dcterms:W3CDTF">2025-07-18T05:18:00Z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v=2022.1;a=SHA256;h=5BB5C803E4CC2229640DD14168834050DBF256C480FFC7DC0E6B0B3F499EFCD9</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2025-04-14T05:49:34Z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1A575B4FEF7CA27715A9D0454CD4019E46BA256EB06958A930EF9BD2CD54AF42</vt:lpwstr>
  </property>
  <property fmtid="{D5CDD505-2E9C-101B-9397-08002B2CF9AE}" pid="16" name="MSIP_Label_87d6481e-ccdd-4ab6-8b26-05a0df5699e7_SetDate">
    <vt:lpwstr>2025-04-14T05:49:34Z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eaaff4e9610d482ea0310441144dd568</vt:lpwstr>
  </property>
  <property fmtid="{D5CDD505-2E9C-101B-9397-08002B2CF9AE}" pid="20" name="PM_InsertionValue">
    <vt:lpwstr>OFFICIAL</vt:lpwstr>
  </property>
  <property fmtid="{D5CDD505-2E9C-101B-9397-08002B2CF9AE}" pid="21" name="PM_Originator_Hash_SHA1">
    <vt:lpwstr>604686885C1AA27893EFEB1D94516E594282344C</vt:lpwstr>
  </property>
  <property fmtid="{D5CDD505-2E9C-101B-9397-08002B2CF9AE}" pid="22" name="PM_DisplayValueSecClassificationWithQualifier">
    <vt:lpwstr>OFFICIAL</vt:lpwstr>
  </property>
  <property fmtid="{D5CDD505-2E9C-101B-9397-08002B2CF9AE}" pid="23" name="PM_Originating_FileId">
    <vt:lpwstr>9ACFC73629654CF8A1F701ECDAF7CF32</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7F03D24B8B043ECAEBFD4F473CBCE2AF</vt:lpwstr>
  </property>
  <property fmtid="{D5CDD505-2E9C-101B-9397-08002B2CF9AE}" pid="32" name="PM_Hash_Salt">
    <vt:lpwstr>36DCD2CDCFDE107C45C53B7D63A0FBAB</vt:lpwstr>
  </property>
  <property fmtid="{D5CDD505-2E9C-101B-9397-08002B2CF9AE}" pid="33" name="PM_Hash_SHA1">
    <vt:lpwstr>0CC15C4A512A62AD473EBC1D0660163F2D19BBA6</vt:lpwstr>
  </property>
  <property fmtid="{D5CDD505-2E9C-101B-9397-08002B2CF9AE}" pid="34" name="ContentTypeId">
    <vt:lpwstr>0x010100B7B479F47583304BA8B631462CC772D70053D3FF1AD7ADC74EBD9711F94A8239F3</vt:lpwstr>
  </property>
  <property fmtid="{D5CDD505-2E9C-101B-9397-08002B2CF9AE}" pid="35" name="TaxKeyword">
    <vt:lpwstr>18;#[SEC=OFFICIAL]|07351cc0-de73-4913-be2f-56f124cbf8bb</vt:lpwstr>
  </property>
  <property fmtid="{D5CDD505-2E9C-101B-9397-08002B2CF9AE}" pid="36" name="About Entity">
    <vt:lpwstr>1;#Department of Finance|fd660e8f-8f31-49bd-92a3-d31d4da31afe</vt:lpwstr>
  </property>
  <property fmtid="{D5CDD505-2E9C-101B-9397-08002B2CF9AE}" pid="37" name="Initiating Entity">
    <vt:lpwstr>1;#Department of Finance|fd660e8f-8f31-49bd-92a3-d31d4da31afe</vt:lpwstr>
  </property>
  <property fmtid="{D5CDD505-2E9C-101B-9397-08002B2CF9AE}" pid="38" name="Organisation Unit">
    <vt:lpwstr>260;#Procurement Capability|4850f830-1d7b-481a-937c-82de51723148</vt:lpwstr>
  </property>
  <property fmtid="{D5CDD505-2E9C-101B-9397-08002B2CF9AE}" pid="39" name="_dlc_DocIdItemGuid">
    <vt:lpwstr>cfb57663-a8a6-4522-aff4-b9c002be107e</vt:lpwstr>
  </property>
  <property fmtid="{D5CDD505-2E9C-101B-9397-08002B2CF9AE}" pid="40" name="Organisation_x0020_Unit">
    <vt:lpwstr>260;#Procurement Capability|4850f830-1d7b-481a-937c-82de51723148</vt:lpwstr>
  </property>
  <property fmtid="{D5CDD505-2E9C-101B-9397-08002B2CF9AE}" pid="41" name="MediaServiceImageTags">
    <vt:lpwstr/>
  </property>
  <property fmtid="{D5CDD505-2E9C-101B-9397-08002B2CF9AE}" pid="42" name="About_x0020_Entity">
    <vt:lpwstr>1;#Department of Finance|fd660e8f-8f31-49bd-92a3-d31d4da31afe</vt:lpwstr>
  </property>
  <property fmtid="{D5CDD505-2E9C-101B-9397-08002B2CF9AE}" pid="43" name="Function_x0020_and_x0020_Activity">
    <vt:lpwstr/>
  </property>
  <property fmtid="{D5CDD505-2E9C-101B-9397-08002B2CF9AE}" pid="44" name="Function and Activity">
    <vt:lpwstr/>
  </property>
  <property fmtid="{D5CDD505-2E9C-101B-9397-08002B2CF9AE}" pid="45" name="Initiating_x0020_Entity">
    <vt:lpwstr>1;#Department of Finance|fd660e8f-8f31-49bd-92a3-d31d4da31afe</vt:lpwstr>
  </property>
  <property fmtid="{D5CDD505-2E9C-101B-9397-08002B2CF9AE}" pid="46" name="PM_SecurityClassification_Prev">
    <vt:lpwstr>OFFICIAL</vt:lpwstr>
  </property>
  <property fmtid="{D5CDD505-2E9C-101B-9397-08002B2CF9AE}" pid="47" name="PM_Qualifier_Prev">
    <vt:lpwstr/>
  </property>
  <property fmtid="{D5CDD505-2E9C-101B-9397-08002B2CF9AE}" pid="48" name="_MarkAsFinal">
    <vt:bool>true</vt:bool>
  </property>
</Properties>
</file>